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5207" w14:textId="77777777" w:rsidR="00BF7BC6" w:rsidRPr="00D90148" w:rsidRDefault="00BF7BC6" w:rsidP="00BF7BC6">
      <w:pPr>
        <w:suppressLineNumbers/>
        <w:pBdr>
          <w:bottom w:val="single" w:sz="4" w:space="1" w:color="auto"/>
        </w:pBdr>
        <w:spacing w:after="0" w:line="276" w:lineRule="auto"/>
        <w:jc w:val="both"/>
        <w:rPr>
          <w:rFonts w:ascii="Cambria" w:hAnsi="Cambria"/>
          <w:b/>
          <w:color w:val="000000" w:themeColor="text1"/>
          <w:sz w:val="24"/>
          <w:szCs w:val="24"/>
        </w:rPr>
      </w:pPr>
      <w:r w:rsidRPr="00D90148">
        <w:rPr>
          <w:rFonts w:ascii="Cambria" w:hAnsi="Cambria"/>
          <w:b/>
          <w:color w:val="000000" w:themeColor="text1"/>
          <w:sz w:val="24"/>
          <w:szCs w:val="24"/>
        </w:rPr>
        <w:t xml:space="preserve">Unterrichtsbaustein </w:t>
      </w:r>
      <w:r w:rsidR="00C64057" w:rsidRPr="00D90148">
        <w:rPr>
          <w:rFonts w:ascii="Cambria" w:hAnsi="Cambria"/>
          <w:b/>
          <w:color w:val="000000" w:themeColor="text1"/>
          <w:sz w:val="24"/>
          <w:szCs w:val="24"/>
        </w:rPr>
        <w:t>4</w:t>
      </w:r>
      <w:r w:rsidRPr="00D90148">
        <w:rPr>
          <w:rFonts w:ascii="Cambria" w:hAnsi="Cambria"/>
          <w:b/>
          <w:color w:val="000000" w:themeColor="text1"/>
          <w:sz w:val="24"/>
          <w:szCs w:val="24"/>
        </w:rPr>
        <w:t xml:space="preserve"> </w:t>
      </w:r>
      <w:r w:rsidR="001E2733" w:rsidRPr="00D90148">
        <w:rPr>
          <w:rFonts w:ascii="Cambria" w:hAnsi="Cambria"/>
          <w:b/>
          <w:color w:val="000000" w:themeColor="text1"/>
          <w:sz w:val="24"/>
          <w:szCs w:val="24"/>
        </w:rPr>
        <w:t>‚</w:t>
      </w:r>
      <w:r w:rsidR="00C64057" w:rsidRPr="00D90148">
        <w:rPr>
          <w:rFonts w:ascii="Cambria" w:hAnsi="Cambria"/>
          <w:b/>
          <w:color w:val="000000" w:themeColor="text1"/>
          <w:sz w:val="24"/>
          <w:szCs w:val="24"/>
        </w:rPr>
        <w:t xml:space="preserve">Wann sind wir kompetent genug? </w:t>
      </w:r>
      <w:r w:rsidR="001E2733" w:rsidRPr="00D90148">
        <w:rPr>
          <w:rFonts w:ascii="Cambria" w:hAnsi="Cambria"/>
          <w:b/>
          <w:color w:val="000000" w:themeColor="text1"/>
          <w:sz w:val="24"/>
          <w:szCs w:val="24"/>
        </w:rPr>
        <w:t>‘</w:t>
      </w:r>
    </w:p>
    <w:p w14:paraId="356BB82D" w14:textId="77777777" w:rsidR="00BF7BC6" w:rsidRPr="00D90148" w:rsidRDefault="00BF7BC6" w:rsidP="00BF7BC6">
      <w:pPr>
        <w:suppressLineNumbers/>
        <w:spacing w:after="0" w:line="276" w:lineRule="auto"/>
        <w:jc w:val="both"/>
        <w:rPr>
          <w:rFonts w:ascii="Cambria" w:hAnsi="Cambria"/>
          <w:color w:val="000000" w:themeColor="text1"/>
          <w:sz w:val="24"/>
          <w:szCs w:val="24"/>
        </w:rPr>
      </w:pPr>
    </w:p>
    <w:p w14:paraId="008563D4" w14:textId="77777777" w:rsidR="00BF7BC6" w:rsidRPr="00D90148" w:rsidRDefault="00C64057" w:rsidP="00925638">
      <w:pPr>
        <w:suppressLineNumbers/>
        <w:spacing w:after="0" w:line="276" w:lineRule="auto"/>
        <w:jc w:val="both"/>
        <w:rPr>
          <w:rFonts w:ascii="Cambria" w:hAnsi="Cambria"/>
          <w:b/>
          <w:i/>
          <w:color w:val="000000" w:themeColor="text1"/>
          <w:sz w:val="24"/>
          <w:szCs w:val="24"/>
        </w:rPr>
      </w:pPr>
      <w:r w:rsidRPr="00D90148">
        <w:rPr>
          <w:rFonts w:ascii="Cambria" w:hAnsi="Cambria"/>
          <w:b/>
          <w:i/>
          <w:color w:val="000000" w:themeColor="text1"/>
          <w:sz w:val="24"/>
          <w:szCs w:val="24"/>
        </w:rPr>
        <w:t xml:space="preserve">Materialien </w:t>
      </w:r>
    </w:p>
    <w:p w14:paraId="18536873" w14:textId="77777777" w:rsidR="002A7DEB" w:rsidRPr="00D90148" w:rsidRDefault="002A7DEB" w:rsidP="002A7DEB">
      <w:pPr>
        <w:spacing w:after="0" w:line="276" w:lineRule="auto"/>
        <w:jc w:val="both"/>
        <w:rPr>
          <w:rFonts w:ascii="Cambria" w:hAnsi="Cambria"/>
          <w:color w:val="000000" w:themeColor="text1"/>
          <w:sz w:val="24"/>
          <w:szCs w:val="24"/>
        </w:rPr>
      </w:pPr>
    </w:p>
    <w:p w14:paraId="52DAD29A" w14:textId="77777777" w:rsidR="00B75F17" w:rsidRPr="00D90148" w:rsidRDefault="00BF7BC6" w:rsidP="0051543F">
      <w:pPr>
        <w:pStyle w:val="Listenabsatz"/>
        <w:numPr>
          <w:ilvl w:val="0"/>
          <w:numId w:val="4"/>
        </w:numPr>
        <w:spacing w:after="0" w:line="276" w:lineRule="auto"/>
        <w:ind w:left="284" w:hanging="284"/>
        <w:rPr>
          <w:rFonts w:ascii="Cambria" w:eastAsiaTheme="minorEastAsia" w:hAnsi="Cambria"/>
          <w:color w:val="000000" w:themeColor="text1"/>
          <w:sz w:val="24"/>
          <w:szCs w:val="24"/>
          <w:lang w:eastAsia="ja-JP"/>
        </w:rPr>
      </w:pPr>
      <w:r w:rsidRPr="00D90148">
        <w:rPr>
          <w:rFonts w:ascii="Cambria" w:hAnsi="Cambria"/>
          <w:color w:val="000000" w:themeColor="text1"/>
          <w:sz w:val="24"/>
          <w:szCs w:val="24"/>
        </w:rPr>
        <w:t>M1</w:t>
      </w:r>
      <w:r w:rsidR="00535C06" w:rsidRPr="00D90148">
        <w:rPr>
          <w:rFonts w:ascii="Cambria" w:hAnsi="Cambria"/>
          <w:color w:val="000000" w:themeColor="text1"/>
          <w:sz w:val="24"/>
          <w:szCs w:val="24"/>
        </w:rPr>
        <w:t xml:space="preserve"> </w:t>
      </w:r>
      <w:r w:rsidR="0008282D" w:rsidRPr="00D90148">
        <w:rPr>
          <w:rFonts w:ascii="Cambria" w:eastAsiaTheme="minorEastAsia" w:hAnsi="Cambria"/>
          <w:color w:val="000000" w:themeColor="text1"/>
          <w:sz w:val="24"/>
          <w:szCs w:val="24"/>
          <w:lang w:eastAsia="ja-JP"/>
        </w:rPr>
        <w:t xml:space="preserve">Können gesellschaftliche Bedingungen kompetente Einwilligung verhindern? </w:t>
      </w:r>
    </w:p>
    <w:p w14:paraId="2FCE4696" w14:textId="77777777" w:rsidR="00925638" w:rsidRPr="00D90148" w:rsidRDefault="00925638" w:rsidP="0051543F">
      <w:pPr>
        <w:pStyle w:val="Listenabsatz"/>
        <w:tabs>
          <w:tab w:val="num" w:pos="567"/>
        </w:tabs>
        <w:spacing w:after="0" w:line="276" w:lineRule="auto"/>
        <w:ind w:left="284" w:hanging="284"/>
        <w:rPr>
          <w:rFonts w:ascii="Cambria" w:eastAsiaTheme="minorEastAsia" w:hAnsi="Cambria"/>
          <w:color w:val="000000" w:themeColor="text1"/>
          <w:sz w:val="24"/>
          <w:szCs w:val="24"/>
          <w:lang w:eastAsia="ja-JP"/>
        </w:rPr>
      </w:pPr>
    </w:p>
    <w:p w14:paraId="1776A231" w14:textId="77777777" w:rsidR="002A7DEB" w:rsidRPr="00D90148" w:rsidRDefault="00BF7BC6" w:rsidP="0051543F">
      <w:pPr>
        <w:pStyle w:val="Listenabsatz"/>
        <w:numPr>
          <w:ilvl w:val="0"/>
          <w:numId w:val="4"/>
        </w:numPr>
        <w:spacing w:after="0" w:line="276" w:lineRule="auto"/>
        <w:ind w:left="284" w:hanging="284"/>
        <w:rPr>
          <w:rFonts w:ascii="Cambria" w:eastAsiaTheme="minorEastAsia" w:hAnsi="Cambria"/>
          <w:color w:val="000000" w:themeColor="text1"/>
          <w:sz w:val="24"/>
          <w:szCs w:val="24"/>
          <w:lang w:eastAsia="ja-JP"/>
        </w:rPr>
        <w:sectPr w:rsidR="002A7DEB" w:rsidRPr="00D90148">
          <w:headerReference w:type="default" r:id="rId7"/>
          <w:footerReference w:type="default" r:id="rId8"/>
          <w:pgSz w:w="11906" w:h="16838"/>
          <w:pgMar w:top="1417" w:right="1417" w:bottom="1134" w:left="1417" w:header="708" w:footer="708" w:gutter="0"/>
          <w:cols w:space="708"/>
          <w:docGrid w:linePitch="360"/>
        </w:sectPr>
      </w:pPr>
      <w:r w:rsidRPr="00D90148">
        <w:rPr>
          <w:rFonts w:ascii="Cambria" w:eastAsiaTheme="minorEastAsia" w:hAnsi="Cambria"/>
          <w:color w:val="000000" w:themeColor="text1"/>
          <w:sz w:val="24"/>
          <w:szCs w:val="24"/>
          <w:lang w:eastAsia="ja-JP"/>
        </w:rPr>
        <w:t>M2</w:t>
      </w:r>
      <w:r w:rsidR="006C02E6" w:rsidRPr="00D90148">
        <w:rPr>
          <w:rFonts w:ascii="Cambria" w:eastAsiaTheme="minorEastAsia" w:hAnsi="Cambria"/>
          <w:color w:val="000000" w:themeColor="text1"/>
          <w:sz w:val="24"/>
          <w:szCs w:val="24"/>
          <w:lang w:eastAsia="ja-JP"/>
        </w:rPr>
        <w:t xml:space="preserve"> Woher wissen wir, ob jemand kompetent einwilligt?</w:t>
      </w:r>
    </w:p>
    <w:p w14:paraId="3D38E008" w14:textId="77777777" w:rsidR="00875C12" w:rsidRPr="00D90148" w:rsidRDefault="00C64057" w:rsidP="00875C12">
      <w:pPr>
        <w:spacing w:after="0" w:line="276" w:lineRule="auto"/>
        <w:jc w:val="both"/>
        <w:rPr>
          <w:rFonts w:ascii="Cambria" w:hAnsi="Cambria"/>
          <w:b/>
          <w:color w:val="000000" w:themeColor="text1"/>
          <w:sz w:val="24"/>
          <w:szCs w:val="24"/>
        </w:rPr>
      </w:pPr>
      <w:r w:rsidRPr="00D90148">
        <w:rPr>
          <w:rFonts w:ascii="Cambria" w:hAnsi="Cambria"/>
          <w:b/>
          <w:color w:val="000000" w:themeColor="text1"/>
          <w:sz w:val="24"/>
          <w:szCs w:val="24"/>
        </w:rPr>
        <w:lastRenderedPageBreak/>
        <w:t xml:space="preserve">M1 </w:t>
      </w:r>
      <w:r w:rsidR="008A4AD9" w:rsidRPr="00D90148">
        <w:rPr>
          <w:rFonts w:ascii="Cambria" w:hAnsi="Cambria"/>
          <w:b/>
          <w:color w:val="000000" w:themeColor="text1"/>
          <w:sz w:val="24"/>
          <w:szCs w:val="24"/>
        </w:rPr>
        <w:t>Können gesellschaftliche Bedingungen kompetente Einwilligung verhindern?</w:t>
      </w:r>
    </w:p>
    <w:p w14:paraId="4ED04EEF" w14:textId="77777777" w:rsidR="00AD05D2" w:rsidRPr="00D90148" w:rsidRDefault="00AD05D2" w:rsidP="00AD05D2">
      <w:pPr>
        <w:spacing w:after="0" w:line="276" w:lineRule="auto"/>
        <w:jc w:val="both"/>
        <w:rPr>
          <w:rFonts w:ascii="Cambria" w:hAnsi="Cambria"/>
          <w:color w:val="000000" w:themeColor="text1"/>
          <w:sz w:val="24"/>
          <w:szCs w:val="24"/>
        </w:rPr>
      </w:pPr>
    </w:p>
    <w:p w14:paraId="28710995" w14:textId="77777777" w:rsidR="00AD05D2" w:rsidRPr="00D90148" w:rsidRDefault="00AD05D2" w:rsidP="00AD05D2">
      <w:pPr>
        <w:spacing w:after="0" w:line="276" w:lineRule="auto"/>
        <w:jc w:val="both"/>
        <w:rPr>
          <w:rFonts w:ascii="Cambria" w:hAnsi="Cambria"/>
          <w:b/>
          <w:color w:val="000000" w:themeColor="text1"/>
          <w:sz w:val="24"/>
          <w:szCs w:val="24"/>
        </w:rPr>
      </w:pPr>
      <w:r w:rsidRPr="00D90148">
        <w:rPr>
          <w:rFonts w:ascii="Cambria" w:hAnsi="Cambria"/>
          <w:b/>
          <w:color w:val="000000" w:themeColor="text1"/>
          <w:sz w:val="24"/>
          <w:szCs w:val="24"/>
        </w:rPr>
        <w:t xml:space="preserve">Aufgaben </w:t>
      </w:r>
    </w:p>
    <w:p w14:paraId="13895C0B" w14:textId="77777777" w:rsidR="00AD05D2" w:rsidRPr="00D90148" w:rsidRDefault="00AD05D2" w:rsidP="00AD05D2">
      <w:pPr>
        <w:spacing w:after="0" w:line="276" w:lineRule="auto"/>
        <w:jc w:val="both"/>
        <w:rPr>
          <w:rFonts w:ascii="Cambria" w:hAnsi="Cambria"/>
          <w:color w:val="000000" w:themeColor="text1"/>
          <w:sz w:val="24"/>
          <w:szCs w:val="24"/>
        </w:rPr>
      </w:pPr>
    </w:p>
    <w:p w14:paraId="179CCD58" w14:textId="77777777" w:rsidR="00AD05D2" w:rsidRPr="00D90148" w:rsidRDefault="00AD05D2" w:rsidP="00AD05D2">
      <w:pPr>
        <w:pStyle w:val="Listenabsatz"/>
        <w:numPr>
          <w:ilvl w:val="0"/>
          <w:numId w:val="9"/>
        </w:numPr>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Lest das untenstehende Fallbeispiel.</w:t>
      </w:r>
    </w:p>
    <w:p w14:paraId="757E570C" w14:textId="77777777" w:rsidR="00AD05D2" w:rsidRPr="00D90148" w:rsidRDefault="00AD05D2" w:rsidP="00AD05D2">
      <w:pPr>
        <w:pStyle w:val="Listenabsatz"/>
        <w:numPr>
          <w:ilvl w:val="0"/>
          <w:numId w:val="9"/>
        </w:numPr>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Beurteilt, ob Clara kompetent in den Abbruch ihrer Berufsausbildung einwilligen kann. Begründet euer Urteil.</w:t>
      </w:r>
    </w:p>
    <w:p w14:paraId="0ADE5C67" w14:textId="77777777" w:rsidR="00AD05D2" w:rsidRPr="00D90148" w:rsidRDefault="00AD05D2" w:rsidP="00AD05D2">
      <w:pPr>
        <w:spacing w:after="0" w:line="276" w:lineRule="auto"/>
        <w:jc w:val="both"/>
        <w:rPr>
          <w:rFonts w:ascii="Cambria" w:hAnsi="Cambria"/>
          <w:color w:val="000000" w:themeColor="text1"/>
          <w:sz w:val="24"/>
          <w:szCs w:val="24"/>
        </w:rPr>
      </w:pPr>
    </w:p>
    <w:p w14:paraId="0F8B8468" w14:textId="77777777" w:rsidR="00AD05D2" w:rsidRPr="00D90148" w:rsidRDefault="00AD05D2" w:rsidP="00AD05D2">
      <w:pPr>
        <w:spacing w:after="0" w:line="276" w:lineRule="auto"/>
        <w:jc w:val="both"/>
        <w:rPr>
          <w:rFonts w:ascii="Cambria" w:hAnsi="Cambria"/>
          <w:b/>
          <w:bCs/>
          <w:color w:val="000000" w:themeColor="text1"/>
          <w:sz w:val="24"/>
          <w:szCs w:val="24"/>
        </w:rPr>
      </w:pPr>
      <w:r w:rsidRPr="00D90148">
        <w:rPr>
          <w:rFonts w:ascii="Cambria" w:hAnsi="Cambria"/>
          <w:b/>
          <w:bCs/>
          <w:color w:val="000000" w:themeColor="text1"/>
          <w:sz w:val="24"/>
          <w:szCs w:val="24"/>
        </w:rPr>
        <w:t>Das große Glück</w:t>
      </w:r>
    </w:p>
    <w:p w14:paraId="1683C14F" w14:textId="77777777" w:rsidR="00BB6DB4" w:rsidRPr="00D90148" w:rsidRDefault="00BB6DB4" w:rsidP="00AD05D2">
      <w:pPr>
        <w:spacing w:after="0" w:line="276" w:lineRule="auto"/>
        <w:jc w:val="both"/>
        <w:rPr>
          <w:rFonts w:ascii="Cambria" w:hAnsi="Cambria"/>
          <w:b/>
          <w:bCs/>
          <w:color w:val="000000" w:themeColor="text1"/>
          <w:sz w:val="24"/>
          <w:szCs w:val="24"/>
        </w:rPr>
      </w:pPr>
    </w:p>
    <w:p w14:paraId="74F90DB5" w14:textId="3B285CFA" w:rsidR="00BB6DB4" w:rsidRPr="00D90148" w:rsidRDefault="00BB6DB4" w:rsidP="00AD05D2">
      <w:pPr>
        <w:spacing w:after="0" w:line="276" w:lineRule="auto"/>
        <w:jc w:val="both"/>
        <w:rPr>
          <w:rFonts w:ascii="Cambria" w:hAnsi="Cambria"/>
          <w:b/>
          <w:bCs/>
          <w:color w:val="000000" w:themeColor="text1"/>
          <w:sz w:val="24"/>
          <w:szCs w:val="24"/>
        </w:rPr>
        <w:sectPr w:rsidR="00BB6DB4" w:rsidRPr="00D90148" w:rsidSect="008935D3">
          <w:pgSz w:w="11906" w:h="16838"/>
          <w:pgMar w:top="1417" w:right="1417" w:bottom="1134" w:left="1417" w:header="708" w:footer="708" w:gutter="0"/>
          <w:cols w:space="708"/>
          <w:docGrid w:linePitch="360"/>
        </w:sectPr>
      </w:pPr>
    </w:p>
    <w:p w14:paraId="5A3FE6FB" w14:textId="77777777" w:rsidR="00AD05D2" w:rsidRPr="00D90148" w:rsidRDefault="00AD05D2" w:rsidP="00AD05D2">
      <w:pPr>
        <w:spacing w:after="0" w:line="276" w:lineRule="auto"/>
        <w:jc w:val="both"/>
        <w:rPr>
          <w:rFonts w:ascii="Cambria" w:hAnsi="Cambria"/>
          <w:color w:val="000000" w:themeColor="text1"/>
          <w:sz w:val="24"/>
          <w:szCs w:val="24"/>
        </w:rPr>
      </w:pPr>
      <w:r w:rsidRPr="00D90148">
        <w:rPr>
          <w:rFonts w:ascii="Cambria" w:hAnsi="Cambria"/>
          <w:color w:val="000000" w:themeColor="text1"/>
          <w:sz w:val="24"/>
          <w:szCs w:val="24"/>
        </w:rPr>
        <w:t>Clara hat in diesem Jahr ihren Schulabschluss gemacht. Vor Kurzem hat sie eine Berufsausbildung begonnen und die Arbeit macht ihr Spaß. Nach ein paar Monaten kommt dann plötzlich alles anders: Clara ist schwanger. Die allgemeine Freude über den Nachwuchs ist riesig. Clara kommt aus einer Familie, in der traditionelle Werte hochgehalten werden. Seit Jahren schon schwärmen Claras Mutter, Tanten und ihre Großmutter davon, wie glücklich und erfüllt sie erst sein werde, wenn sie Mutter sei. Ein Kind sei wie das fehlendes Puzzleteil zum großen Glück einer Frau.</w:t>
      </w:r>
    </w:p>
    <w:p w14:paraId="53724421" w14:textId="4EB450BF" w:rsidR="00AD05D2" w:rsidRPr="00D90148" w:rsidRDefault="00AD05D2" w:rsidP="00BB6DB4">
      <w:pPr>
        <w:spacing w:after="0" w:line="276" w:lineRule="auto"/>
        <w:ind w:firstLine="284"/>
        <w:jc w:val="both"/>
        <w:rPr>
          <w:rFonts w:ascii="Cambria" w:hAnsi="Cambria"/>
          <w:color w:val="000000" w:themeColor="text1"/>
          <w:sz w:val="24"/>
          <w:szCs w:val="24"/>
        </w:rPr>
      </w:pPr>
      <w:r w:rsidRPr="00D90148">
        <w:rPr>
          <w:rFonts w:ascii="Cambria" w:hAnsi="Cambria"/>
          <w:color w:val="000000" w:themeColor="text1"/>
          <w:sz w:val="24"/>
          <w:szCs w:val="24"/>
        </w:rPr>
        <w:t>In den nächsten Wochen führen diverse Familienangehörige Gespräche mit Clara. Sie legen ihr nahe, ihre Berufsausbildung abzubrechen. Die brauche sie nun ohnehin nicht mehr, da ihr Freund Robert gut für sie und ihr Kind sorgen werde. Auch Robert bestärkt die Entscheidung. Er wird die junge Familie durch seine Arbeit finanziell absichern. Clara hingegen soll sich in den nächsten Jahren voll und ganz den Bedürfnissen und der Erziehung des Kindes widmen. Clara freut sich auf die Zukunft und reicht die Kündigung ein.</w:t>
      </w:r>
    </w:p>
    <w:p w14:paraId="35962CD0" w14:textId="66CD4E53" w:rsidR="00BB6DB4" w:rsidRPr="00D90148" w:rsidRDefault="00BB6DB4" w:rsidP="00AD05D2">
      <w:pPr>
        <w:spacing w:after="0" w:line="276" w:lineRule="auto"/>
        <w:jc w:val="both"/>
        <w:rPr>
          <w:rFonts w:ascii="Cambria" w:hAnsi="Cambria"/>
          <w:color w:val="000000" w:themeColor="text1"/>
          <w:sz w:val="24"/>
          <w:szCs w:val="24"/>
        </w:rPr>
        <w:sectPr w:rsidR="00BB6DB4" w:rsidRPr="00D90148" w:rsidSect="00BB6DB4">
          <w:type w:val="continuous"/>
          <w:pgSz w:w="11906" w:h="16838"/>
          <w:pgMar w:top="1418" w:right="1418" w:bottom="1134" w:left="1418" w:header="709" w:footer="709" w:gutter="0"/>
          <w:lnNumType w:countBy="3" w:restart="newSection"/>
          <w:cols w:space="708"/>
          <w:docGrid w:linePitch="360"/>
        </w:sectPr>
      </w:pPr>
    </w:p>
    <w:p w14:paraId="4839EC35" w14:textId="77777777" w:rsidR="00BB6DB4" w:rsidRPr="00D90148" w:rsidRDefault="00BB6DB4" w:rsidP="00AD05D2">
      <w:pPr>
        <w:spacing w:after="0" w:line="276" w:lineRule="auto"/>
        <w:jc w:val="both"/>
        <w:rPr>
          <w:rFonts w:ascii="Cambria" w:hAnsi="Cambria"/>
          <w:color w:val="000000" w:themeColor="text1"/>
          <w:sz w:val="24"/>
          <w:szCs w:val="24"/>
        </w:rPr>
      </w:pPr>
    </w:p>
    <w:p w14:paraId="16F1B8D0" w14:textId="77777777" w:rsidR="00BB6DB4" w:rsidRPr="00D90148" w:rsidRDefault="00BB6DB4" w:rsidP="00AD05D2">
      <w:pPr>
        <w:spacing w:after="0" w:line="276" w:lineRule="auto"/>
        <w:jc w:val="both"/>
        <w:rPr>
          <w:rFonts w:ascii="Cambria" w:hAnsi="Cambria"/>
          <w:color w:val="000000" w:themeColor="text1"/>
          <w:sz w:val="24"/>
          <w:szCs w:val="24"/>
        </w:rPr>
      </w:pPr>
    </w:p>
    <w:p w14:paraId="1EEF32DE" w14:textId="712797A6" w:rsidR="00BB6DB4" w:rsidRPr="00D90148" w:rsidRDefault="00BB6DB4" w:rsidP="00AD05D2">
      <w:pPr>
        <w:spacing w:after="0" w:line="276" w:lineRule="auto"/>
        <w:jc w:val="both"/>
        <w:rPr>
          <w:rFonts w:ascii="Cambria" w:hAnsi="Cambria"/>
          <w:color w:val="000000" w:themeColor="text1"/>
          <w:sz w:val="24"/>
          <w:szCs w:val="24"/>
        </w:rPr>
        <w:sectPr w:rsidR="00BB6DB4" w:rsidRPr="00D90148" w:rsidSect="00BB6DB4">
          <w:type w:val="continuous"/>
          <w:pgSz w:w="11906" w:h="16838"/>
          <w:pgMar w:top="1417" w:right="1417" w:bottom="1134" w:left="1417" w:header="708" w:footer="708" w:gutter="0"/>
          <w:cols w:space="708"/>
          <w:docGrid w:linePitch="360"/>
        </w:sectPr>
      </w:pPr>
    </w:p>
    <w:p w14:paraId="597F3DFF" w14:textId="77777777" w:rsidR="00AD05D2" w:rsidRPr="00D90148" w:rsidRDefault="00AD05D2" w:rsidP="00AD05D2">
      <w:pPr>
        <w:pBdr>
          <w:top w:val="single" w:sz="4" w:space="1" w:color="auto"/>
          <w:left w:val="single" w:sz="4" w:space="4" w:color="auto"/>
          <w:bottom w:val="single" w:sz="4" w:space="1" w:color="auto"/>
          <w:right w:val="single" w:sz="4" w:space="4" w:color="auto"/>
        </w:pBdr>
        <w:spacing w:after="0" w:line="276" w:lineRule="auto"/>
        <w:ind w:left="142"/>
        <w:jc w:val="both"/>
        <w:rPr>
          <w:rFonts w:ascii="Cambria" w:hAnsi="Cambria"/>
          <w:color w:val="000000" w:themeColor="text1"/>
          <w:sz w:val="24"/>
          <w:szCs w:val="24"/>
        </w:rPr>
      </w:pPr>
      <w:r w:rsidRPr="00D90148">
        <w:rPr>
          <w:rFonts w:ascii="Cambria" w:hAnsi="Cambria"/>
          <w:color w:val="000000" w:themeColor="text1"/>
          <w:sz w:val="24"/>
          <w:szCs w:val="24"/>
        </w:rPr>
        <w:lastRenderedPageBreak/>
        <w:t xml:space="preserve">Unter bestimmten Bedingungen können Personen keine gültige Einwilligung geben, z.B. weil sie stark beeinflusst wurden. </w:t>
      </w:r>
      <w:proofErr w:type="gramStart"/>
      <w:r w:rsidRPr="00D90148">
        <w:rPr>
          <w:rFonts w:ascii="Cambria" w:hAnsi="Cambria"/>
          <w:color w:val="000000" w:themeColor="text1"/>
          <w:sz w:val="24"/>
          <w:szCs w:val="24"/>
        </w:rPr>
        <w:t>Die Philosoph</w:t>
      </w:r>
      <w:proofErr w:type="gramEnd"/>
      <w:r w:rsidRPr="00D90148">
        <w:rPr>
          <w:rFonts w:ascii="Cambria" w:hAnsi="Cambria"/>
          <w:color w:val="000000" w:themeColor="text1"/>
          <w:sz w:val="24"/>
          <w:szCs w:val="24"/>
        </w:rPr>
        <w:t xml:space="preserve">*innen John Stuart Mill und Harriet Taylor Mill haben Mitte des 19. Jahrhunderts die These formuliert, dass Frauen durch die gesellschaftlichen Bedingungen der Zeit so sehr eingeschränkt waren, dass sie sich nicht gegen die Macht der Männer auflehnen konnten. Sehen wir uns an, was dies für die Befähigung zur Einwilligung bedeutet. </w:t>
      </w:r>
    </w:p>
    <w:p w14:paraId="017A4731" w14:textId="77777777" w:rsidR="00AD05D2" w:rsidRPr="00D90148" w:rsidRDefault="00AD05D2" w:rsidP="00AD05D2">
      <w:pPr>
        <w:spacing w:after="0" w:line="276" w:lineRule="auto"/>
        <w:jc w:val="both"/>
        <w:rPr>
          <w:rFonts w:ascii="Cambria" w:hAnsi="Cambria"/>
          <w:color w:val="000000" w:themeColor="text1"/>
          <w:sz w:val="24"/>
          <w:szCs w:val="24"/>
        </w:rPr>
      </w:pPr>
    </w:p>
    <w:p w14:paraId="4B09D753" w14:textId="77777777" w:rsidR="00AD05D2" w:rsidRPr="00D90148" w:rsidRDefault="00AD05D2" w:rsidP="00AD05D2">
      <w:pPr>
        <w:pStyle w:val="Listenabsatz"/>
        <w:numPr>
          <w:ilvl w:val="0"/>
          <w:numId w:val="8"/>
        </w:numPr>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 xml:space="preserve">Lest den untenstehenden Text der Mills. </w:t>
      </w:r>
    </w:p>
    <w:p w14:paraId="539671A8" w14:textId="77777777" w:rsidR="00AD05D2" w:rsidRPr="00D90148" w:rsidRDefault="00AD05D2" w:rsidP="00AD05D2">
      <w:pPr>
        <w:pStyle w:val="Listenabsatz"/>
        <w:numPr>
          <w:ilvl w:val="0"/>
          <w:numId w:val="8"/>
        </w:numPr>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 xml:space="preserve">Erläutert, inwiefern Frauen den Mills zufolge im 19. Jahrhundert unterdrückt wurden. </w:t>
      </w:r>
    </w:p>
    <w:p w14:paraId="4D930B8D" w14:textId="77777777" w:rsidR="00AD05D2" w:rsidRPr="00D90148" w:rsidRDefault="00AD05D2" w:rsidP="00AD05D2">
      <w:pPr>
        <w:pStyle w:val="Listenabsatz"/>
        <w:numPr>
          <w:ilvl w:val="0"/>
          <w:numId w:val="8"/>
        </w:numPr>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 xml:space="preserve">Untersucht, was dies für die Fähigkeit, einzuwilligen bedeutet. </w:t>
      </w:r>
    </w:p>
    <w:p w14:paraId="1D2F120B" w14:textId="77777777" w:rsidR="00AD05D2" w:rsidRPr="00D90148" w:rsidRDefault="00AD05D2" w:rsidP="00AD05D2">
      <w:pPr>
        <w:pStyle w:val="Listenabsatz"/>
        <w:numPr>
          <w:ilvl w:val="0"/>
          <w:numId w:val="8"/>
        </w:numPr>
        <w:tabs>
          <w:tab w:val="left" w:pos="142"/>
        </w:tabs>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 xml:space="preserve">Überprüft anhand des Auszugs aus einem Artikel von Veronika </w:t>
      </w:r>
      <w:proofErr w:type="spellStart"/>
      <w:r w:rsidRPr="00D90148">
        <w:rPr>
          <w:rFonts w:ascii="Cambria" w:hAnsi="Cambria"/>
          <w:color w:val="000000" w:themeColor="text1"/>
          <w:sz w:val="24"/>
          <w:szCs w:val="24"/>
        </w:rPr>
        <w:t>Ellecosta</w:t>
      </w:r>
      <w:proofErr w:type="spellEnd"/>
      <w:r w:rsidRPr="00D90148">
        <w:rPr>
          <w:rFonts w:ascii="Cambria" w:hAnsi="Cambria"/>
          <w:color w:val="000000" w:themeColor="text1"/>
          <w:sz w:val="24"/>
          <w:szCs w:val="24"/>
        </w:rPr>
        <w:t xml:space="preserve"> (siehe unten), inwieweit die von den Mills skizzierten gesellschaftlichen Bedingungen heute noch aktuell sind.</w:t>
      </w:r>
    </w:p>
    <w:p w14:paraId="31D3E01A" w14:textId="77777777" w:rsidR="00AD05D2" w:rsidRPr="00D90148" w:rsidRDefault="00AD05D2" w:rsidP="00AD05D2">
      <w:pPr>
        <w:pStyle w:val="Listenabsatz"/>
        <w:numPr>
          <w:ilvl w:val="0"/>
          <w:numId w:val="8"/>
        </w:numPr>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Es scheint fast so, als seien wir sehr häufig nicht kompetent, erfolgreich einzuwilligen. Entwickelt Ideen dazu,</w:t>
      </w:r>
    </w:p>
    <w:p w14:paraId="28491073" w14:textId="4EFE1A0D" w:rsidR="00AD05D2" w:rsidRPr="00D115ED" w:rsidRDefault="00D115ED" w:rsidP="00D115ED">
      <w:pPr>
        <w:spacing w:after="0" w:line="276" w:lineRule="auto"/>
        <w:ind w:firstLine="426"/>
        <w:jc w:val="both"/>
        <w:rPr>
          <w:rFonts w:ascii="Cambria" w:hAnsi="Cambria"/>
          <w:color w:val="000000" w:themeColor="text1"/>
          <w:sz w:val="24"/>
          <w:szCs w:val="24"/>
        </w:rPr>
      </w:pPr>
      <w:r>
        <w:rPr>
          <w:rFonts w:ascii="Cambria" w:hAnsi="Cambria"/>
          <w:color w:val="000000" w:themeColor="text1"/>
          <w:sz w:val="24"/>
          <w:szCs w:val="24"/>
        </w:rPr>
        <w:t xml:space="preserve">(a) </w:t>
      </w:r>
      <w:r w:rsidR="00AD05D2" w:rsidRPr="00D115ED">
        <w:rPr>
          <w:rFonts w:ascii="Cambria" w:hAnsi="Cambria"/>
          <w:color w:val="000000" w:themeColor="text1"/>
          <w:sz w:val="24"/>
          <w:szCs w:val="24"/>
        </w:rPr>
        <w:t>was man selbst tun könnte oder</w:t>
      </w:r>
    </w:p>
    <w:p w14:paraId="1608DECD" w14:textId="711E5751" w:rsidR="00AD05D2" w:rsidRPr="00D115ED" w:rsidRDefault="00D115ED" w:rsidP="00D115ED">
      <w:pPr>
        <w:spacing w:after="0" w:line="276" w:lineRule="auto"/>
        <w:ind w:left="426"/>
        <w:jc w:val="both"/>
        <w:rPr>
          <w:rFonts w:ascii="Cambria" w:hAnsi="Cambria"/>
          <w:color w:val="000000" w:themeColor="text1"/>
          <w:sz w:val="24"/>
          <w:szCs w:val="24"/>
        </w:rPr>
      </w:pPr>
      <w:r>
        <w:rPr>
          <w:rFonts w:ascii="Cambria" w:hAnsi="Cambria"/>
          <w:color w:val="000000" w:themeColor="text1"/>
          <w:sz w:val="24"/>
          <w:szCs w:val="24"/>
        </w:rPr>
        <w:t xml:space="preserve">(b) </w:t>
      </w:r>
      <w:r w:rsidR="00AD05D2" w:rsidRPr="00D115ED">
        <w:rPr>
          <w:rFonts w:ascii="Cambria" w:hAnsi="Cambria"/>
          <w:color w:val="000000" w:themeColor="text1"/>
          <w:sz w:val="24"/>
          <w:szCs w:val="24"/>
        </w:rPr>
        <w:t xml:space="preserve">was in der Gesellschaft getan werden kann, um die Fähigkeit zur kompetenten Einwilligung zu stärken. </w:t>
      </w:r>
    </w:p>
    <w:p w14:paraId="6D581BD6" w14:textId="77777777" w:rsidR="00AD05D2" w:rsidRPr="00D90148" w:rsidRDefault="00AD05D2" w:rsidP="00AD05D2">
      <w:pPr>
        <w:spacing w:after="0" w:line="276" w:lineRule="auto"/>
        <w:jc w:val="both"/>
        <w:rPr>
          <w:rFonts w:ascii="Cambria" w:hAnsi="Cambria"/>
          <w:b/>
          <w:color w:val="000000" w:themeColor="text1"/>
          <w:sz w:val="24"/>
          <w:szCs w:val="24"/>
        </w:rPr>
      </w:pPr>
    </w:p>
    <w:p w14:paraId="6830D7E0" w14:textId="77777777" w:rsidR="00AD05D2" w:rsidRPr="00D90148" w:rsidRDefault="00AD05D2" w:rsidP="00AD05D2">
      <w:pPr>
        <w:spacing w:after="0" w:line="276" w:lineRule="auto"/>
        <w:jc w:val="both"/>
        <w:rPr>
          <w:rFonts w:ascii="Cambria" w:hAnsi="Cambria"/>
          <w:b/>
          <w:color w:val="000000" w:themeColor="text1"/>
          <w:sz w:val="24"/>
          <w:szCs w:val="24"/>
        </w:rPr>
      </w:pPr>
      <w:r w:rsidRPr="00D90148">
        <w:rPr>
          <w:rFonts w:ascii="Cambria" w:hAnsi="Cambria"/>
          <w:b/>
          <w:color w:val="000000" w:themeColor="text1"/>
          <w:sz w:val="24"/>
          <w:szCs w:val="24"/>
        </w:rPr>
        <w:t>John Stuart Mill/Harriet Taylor Mill (1869/2020), Die Unterdrückung der Frauen</w:t>
      </w:r>
    </w:p>
    <w:p w14:paraId="081A9439" w14:textId="77777777" w:rsidR="00BB6DB4" w:rsidRPr="00D90148" w:rsidRDefault="00BB6DB4" w:rsidP="00AD05D2">
      <w:pPr>
        <w:spacing w:after="0" w:line="276" w:lineRule="auto"/>
        <w:jc w:val="both"/>
        <w:rPr>
          <w:rFonts w:ascii="Cambria" w:hAnsi="Cambria"/>
          <w:b/>
          <w:color w:val="000000" w:themeColor="text1"/>
          <w:sz w:val="24"/>
          <w:szCs w:val="24"/>
        </w:rPr>
        <w:sectPr w:rsidR="00BB6DB4" w:rsidRPr="00D90148" w:rsidSect="008935D3">
          <w:pgSz w:w="11906" w:h="16838"/>
          <w:pgMar w:top="1417" w:right="1417" w:bottom="1134" w:left="1417" w:header="708" w:footer="708" w:gutter="0"/>
          <w:cols w:space="708"/>
          <w:docGrid w:linePitch="360"/>
        </w:sectPr>
      </w:pPr>
    </w:p>
    <w:p w14:paraId="36AD9DD4" w14:textId="77777777" w:rsidR="00BB6DB4" w:rsidRPr="00D90148" w:rsidRDefault="00BB6DB4" w:rsidP="00AD05D2">
      <w:pPr>
        <w:spacing w:after="0" w:line="276" w:lineRule="auto"/>
        <w:jc w:val="both"/>
        <w:rPr>
          <w:rFonts w:ascii="Cambria" w:hAnsi="Cambria"/>
          <w:b/>
          <w:color w:val="000000" w:themeColor="text1"/>
          <w:sz w:val="24"/>
          <w:szCs w:val="24"/>
        </w:rPr>
        <w:sectPr w:rsidR="00BB6DB4" w:rsidRPr="00D90148" w:rsidSect="00BB6DB4">
          <w:type w:val="continuous"/>
          <w:pgSz w:w="11906" w:h="16838"/>
          <w:pgMar w:top="1417" w:right="1417" w:bottom="1134" w:left="1417" w:header="708" w:footer="708" w:gutter="0"/>
          <w:cols w:space="708"/>
          <w:docGrid w:linePitch="360"/>
        </w:sectPr>
      </w:pPr>
    </w:p>
    <w:p w14:paraId="299387DB" w14:textId="77777777" w:rsidR="00AD05D2" w:rsidRPr="00D90148" w:rsidRDefault="00AD05D2" w:rsidP="00AD05D2">
      <w:pPr>
        <w:spacing w:after="0" w:line="276" w:lineRule="auto"/>
        <w:jc w:val="both"/>
        <w:rPr>
          <w:rFonts w:ascii="Cambria" w:hAnsi="Cambria"/>
          <w:color w:val="000000" w:themeColor="text1"/>
          <w:sz w:val="24"/>
          <w:szCs w:val="24"/>
        </w:rPr>
      </w:pPr>
      <w:r w:rsidRPr="00D90148">
        <w:rPr>
          <w:rFonts w:ascii="Cambria" w:hAnsi="Cambria"/>
          <w:color w:val="000000" w:themeColor="text1"/>
          <w:sz w:val="24"/>
          <w:szCs w:val="24"/>
        </w:rPr>
        <w:t>Das Zusammenspiel von sozialen und biologischen Ursachen macht es sehr unwahrscheinlich, dass Frauen sich gemeinsam gegen die Macht der Männer auflehnen. Sie befinden sich, im Vergleich zu anderen Gruppen von Unterdrückten, insofern in einer besonderen Position, als dass ihre Herren mehr als ihre bloßen Dienste von ihnen verlangen. Männer wollen nicht nur den Gehorsam, sondern auch die Zuneigung der Frauen. Abgesehen von den ganz Abgestumpften, wünschen sich alle Männer eine Frau, die nicht von ihnen dazu gezwungen werden muss, sondern sich ihnen freiwillig unterwirft. Sie soll nicht nur eine Sklavin sein, sondern ein Liebling. Deshalb haben sie alles dafür getan, den Verstand der Frauen zu versklaven.</w:t>
      </w:r>
    </w:p>
    <w:p w14:paraId="1BCF9B93" w14:textId="77777777" w:rsidR="00AD05D2" w:rsidRPr="00D90148" w:rsidRDefault="00AD05D2" w:rsidP="00AD05D2">
      <w:pPr>
        <w:spacing w:after="0" w:line="276" w:lineRule="auto"/>
        <w:ind w:firstLine="284"/>
        <w:jc w:val="both"/>
        <w:rPr>
          <w:rFonts w:ascii="Cambria" w:hAnsi="Cambria"/>
          <w:color w:val="000000" w:themeColor="text1"/>
          <w:sz w:val="24"/>
          <w:szCs w:val="24"/>
        </w:rPr>
      </w:pPr>
      <w:r w:rsidRPr="00D90148">
        <w:rPr>
          <w:rFonts w:ascii="Cambria" w:hAnsi="Cambria"/>
          <w:color w:val="000000" w:themeColor="text1"/>
          <w:sz w:val="24"/>
          <w:szCs w:val="24"/>
        </w:rPr>
        <w:t xml:space="preserve">Die Herren aller anderen Sklaven nutzen das Mittel der Furcht – entweder Furcht vor ihnen selbst oder religiöse Furcht – um den Gehorsam der </w:t>
      </w:r>
      <w:proofErr w:type="spellStart"/>
      <w:r w:rsidRPr="00D90148">
        <w:rPr>
          <w:rFonts w:ascii="Cambria" w:hAnsi="Cambria"/>
          <w:color w:val="000000" w:themeColor="text1"/>
          <w:sz w:val="24"/>
          <w:szCs w:val="24"/>
        </w:rPr>
        <w:t>Sklav</w:t>
      </w:r>
      <w:proofErr w:type="spellEnd"/>
      <w:r w:rsidRPr="00D90148">
        <w:rPr>
          <w:rFonts w:ascii="Cambria" w:hAnsi="Cambria"/>
          <w:color w:val="000000" w:themeColor="text1"/>
          <w:sz w:val="24"/>
          <w:szCs w:val="24"/>
        </w:rPr>
        <w:t>*innen zu sichern. Die Herren der Frauen wollten jedoch mehr als reinen Gehorsam und nutzen die Macht der Erziehung um ihr Ziel zu erreichen. Von klein auf wird Mädchen beigebracht, dass für Männer und Frauen grundverschiedene Charakter-Ideale gelten: An die Stelle eines eigenen Willens und von Selbstbestimmung treten bei Frauen Unterwerfung und die Kontrollabgabe an andere. Von moralischen Instanzen wird ihnen vermittelt, es sei ihre Pflicht, für andere zu leben, sich selbst völlig zurückzunehmen und die Fürsorge für andere zu ihrer höchsten Priorität zu machen. Die vorherrschenden Überzeugungen besagen sogar, es entspräche ihrer Natur. Die einzige Fürsorge, die Frauen dabei zugestanden wird, ist die für ihren Mann und für ihre Kinder, welche zugleich eine weitere, unauflösliche Bindung an den Mann darstellen.</w:t>
      </w:r>
    </w:p>
    <w:p w14:paraId="06902707" w14:textId="77777777" w:rsidR="00AD05D2" w:rsidRPr="00D90148" w:rsidRDefault="00AD05D2" w:rsidP="00AD05D2">
      <w:pPr>
        <w:spacing w:after="0" w:line="276" w:lineRule="auto"/>
        <w:ind w:firstLine="284"/>
        <w:jc w:val="both"/>
        <w:rPr>
          <w:rFonts w:ascii="Cambria" w:hAnsi="Cambria"/>
          <w:color w:val="000000" w:themeColor="text1"/>
          <w:sz w:val="24"/>
          <w:szCs w:val="24"/>
        </w:rPr>
      </w:pPr>
      <w:r w:rsidRPr="00D90148">
        <w:rPr>
          <w:rFonts w:ascii="Cambria" w:hAnsi="Cambria"/>
          <w:color w:val="000000" w:themeColor="text1"/>
          <w:sz w:val="24"/>
          <w:szCs w:val="24"/>
        </w:rPr>
        <w:lastRenderedPageBreak/>
        <w:t xml:space="preserve">Führen wir nun die folgenden drei Aspekte zusammen: Erstens, die natürlich Anziehungskraft zwischen den Geschlechtern, zweitens, die vollkommende Abhängigkeit der Frauen von ihren Ehemännern (jedes Privileg und jede ihrer Freuden kommen entweder von ihm oder hängen von seinem Willen ab) und drittens, dass das wesentliche Ziel menschlichen Strebens, Beachtung und weitere gesellschaftliche Ambitionen, von ihr nur durch ihn verlangt oder gar erreicht werden können. Es käme einem Wunder gleich, wenn es nicht das oberste Ziel der weiblichen Erziehung und Charakterbildung wäre, für Männer attraktiv zu sein. Als dieses immense Mittel der Beeinflussung des weiblichen Verstandes errungen war, machten die Männer sich dieses – aus einem egoistischen Instinkt heraus – zunutze. Sie etablierten ein Abhängigkeitsverhältnis, indem Sanftmut, Unterwürfigkeit und der Verzicht auf einen eigenen Willen, Frauen als Hauptbestandteile ihrer sexuellen Attraktivität suggeriert wurden. </w:t>
      </w:r>
    </w:p>
    <w:p w14:paraId="29155301" w14:textId="28A01EF9" w:rsidR="00AD05D2" w:rsidRDefault="00AD05D2" w:rsidP="00BB6DB4">
      <w:pPr>
        <w:spacing w:after="0" w:line="276" w:lineRule="auto"/>
        <w:ind w:firstLine="284"/>
        <w:jc w:val="both"/>
        <w:rPr>
          <w:rFonts w:ascii="Cambria" w:hAnsi="Cambria"/>
          <w:color w:val="000000" w:themeColor="text1"/>
          <w:sz w:val="24"/>
          <w:szCs w:val="24"/>
        </w:rPr>
      </w:pPr>
      <w:r w:rsidRPr="00D90148">
        <w:rPr>
          <w:rFonts w:ascii="Cambria" w:hAnsi="Cambria"/>
          <w:color w:val="000000" w:themeColor="text1"/>
          <w:sz w:val="24"/>
          <w:szCs w:val="24"/>
        </w:rPr>
        <w:t>Kann bezweifelt werden, dass andere Unterdrückungen, denen sich die Menschheit erfolgreich entledigt hat, noch heute existieren würden, wenn dieselben Mittel [wie zur Unterdrückung der Frau] so unentwegt angewendet worden wären, um den Verstand der Unterjochten zu unterdrücken? Wenn es zum Lebensziel eines jeden jungen Plebejers</w:t>
      </w:r>
      <w:r w:rsidRPr="00D90148">
        <w:rPr>
          <w:rStyle w:val="Funotenzeichen"/>
          <w:rFonts w:ascii="Cambria" w:hAnsi="Cambria"/>
          <w:color w:val="000000" w:themeColor="text1"/>
          <w:sz w:val="24"/>
          <w:szCs w:val="24"/>
        </w:rPr>
        <w:footnoteReference w:id="1"/>
      </w:r>
      <w:r w:rsidRPr="00D90148">
        <w:rPr>
          <w:rFonts w:ascii="Cambria" w:hAnsi="Cambria"/>
          <w:color w:val="000000" w:themeColor="text1"/>
          <w:sz w:val="24"/>
          <w:szCs w:val="24"/>
        </w:rPr>
        <w:t xml:space="preserve"> gemacht worden wäre, die Gunst eines Patriziers</w:t>
      </w:r>
      <w:r w:rsidRPr="00D90148">
        <w:rPr>
          <w:rStyle w:val="Funotenzeichen"/>
          <w:rFonts w:ascii="Cambria" w:hAnsi="Cambria"/>
          <w:color w:val="000000" w:themeColor="text1"/>
          <w:sz w:val="24"/>
          <w:szCs w:val="24"/>
        </w:rPr>
        <w:footnoteReference w:id="2"/>
      </w:r>
      <w:r w:rsidRPr="00D90148">
        <w:rPr>
          <w:rFonts w:ascii="Cambria" w:hAnsi="Cambria"/>
          <w:color w:val="000000" w:themeColor="text1"/>
          <w:sz w:val="24"/>
          <w:szCs w:val="24"/>
        </w:rPr>
        <w:t xml:space="preserve">, von jedem jungen Leibeigenen, die seines Herren zu erlangen, wenn ihnen als größte zu erreichende Belohnung die Zuneigung des Herren und die Gründung eines gemeinsamen Haushalts mit ihm angepriesen worden wären. Wenn ihnen glaubhaft gemacht worden wäre, dass die Talentiertesten und Ambitioniertesten von ihnen die größte Belohnung erhielten, und wenn sie dann diese höchste Belohnung erhalten hätten, eine hohe Mauer errichtet worden wäre, die alle Interessen, die sich nicht auf die des Herrn richten, alle Gefühle und wünsche, die nicht von ihm geteilt oder von ihm eingetrichtert wurden, ausgrenzt, wären dann nicht  der Unterschied zwischen Plebejern und Patriziern, Leibeigenen und Herren heute noch genau so groß wie zwischen Frauen und Männer? Und würden nicht alle, mit Ausnahme von ein paar Denker*innen hier und da, diese Unterschiedlichkeit für eine fundamentale und unumstößliche Tatsache der menschlichen Natur halten? </w:t>
      </w:r>
    </w:p>
    <w:p w14:paraId="66098F19" w14:textId="77777777" w:rsidR="00BA7027" w:rsidRDefault="00BA7027" w:rsidP="00BA7027">
      <w:pPr>
        <w:spacing w:after="0" w:line="276" w:lineRule="auto"/>
        <w:jc w:val="both"/>
        <w:rPr>
          <w:rFonts w:ascii="Cambria" w:hAnsi="Cambria"/>
          <w:b/>
          <w:color w:val="000000" w:themeColor="text1"/>
          <w:sz w:val="20"/>
          <w:szCs w:val="20"/>
        </w:rPr>
      </w:pPr>
    </w:p>
    <w:p w14:paraId="1EAABD82" w14:textId="1734F78D" w:rsidR="00BA7027" w:rsidRPr="00D115ED" w:rsidRDefault="00BA7027" w:rsidP="0067628A">
      <w:pPr>
        <w:spacing w:after="0" w:line="276" w:lineRule="auto"/>
        <w:rPr>
          <w:rFonts w:ascii="Cambria" w:hAnsi="Cambria"/>
          <w:color w:val="000000" w:themeColor="text1"/>
          <w:sz w:val="20"/>
          <w:szCs w:val="20"/>
        </w:rPr>
      </w:pPr>
      <w:r w:rsidRPr="00D115ED">
        <w:rPr>
          <w:rFonts w:ascii="Cambria" w:hAnsi="Cambria"/>
          <w:b/>
          <w:color w:val="000000" w:themeColor="text1"/>
          <w:sz w:val="20"/>
          <w:szCs w:val="20"/>
        </w:rPr>
        <w:t>Quelle</w:t>
      </w:r>
      <w:r w:rsidRPr="00D115ED">
        <w:rPr>
          <w:rFonts w:ascii="Cambria" w:hAnsi="Cambria"/>
          <w:color w:val="000000" w:themeColor="text1"/>
          <w:sz w:val="20"/>
          <w:szCs w:val="20"/>
        </w:rPr>
        <w:t xml:space="preserve">: Mill, John Stuart/Mill, Harriet Taylor (1869): The </w:t>
      </w:r>
      <w:proofErr w:type="spellStart"/>
      <w:r w:rsidRPr="00D115ED">
        <w:rPr>
          <w:rFonts w:ascii="Cambria" w:hAnsi="Cambria"/>
          <w:color w:val="000000" w:themeColor="text1"/>
          <w:sz w:val="20"/>
          <w:szCs w:val="20"/>
        </w:rPr>
        <w:t>Subjection</w:t>
      </w:r>
      <w:proofErr w:type="spellEnd"/>
      <w:r w:rsidRPr="00D115ED">
        <w:rPr>
          <w:rFonts w:ascii="Cambria" w:hAnsi="Cambria"/>
          <w:color w:val="000000" w:themeColor="text1"/>
          <w:sz w:val="20"/>
          <w:szCs w:val="20"/>
        </w:rPr>
        <w:t xml:space="preserve"> </w:t>
      </w:r>
      <w:proofErr w:type="spellStart"/>
      <w:r w:rsidRPr="00D115ED">
        <w:rPr>
          <w:rFonts w:ascii="Cambria" w:hAnsi="Cambria"/>
          <w:color w:val="000000" w:themeColor="text1"/>
          <w:sz w:val="20"/>
          <w:szCs w:val="20"/>
        </w:rPr>
        <w:t>of</w:t>
      </w:r>
      <w:proofErr w:type="spellEnd"/>
      <w:r w:rsidRPr="00D115ED">
        <w:rPr>
          <w:rFonts w:ascii="Cambria" w:hAnsi="Cambria"/>
          <w:color w:val="000000" w:themeColor="text1"/>
          <w:sz w:val="20"/>
          <w:szCs w:val="20"/>
        </w:rPr>
        <w:t xml:space="preserve"> Women, aus </w:t>
      </w:r>
      <w:r>
        <w:rPr>
          <w:rFonts w:ascii="Cambria" w:hAnsi="Cambria"/>
          <w:color w:val="000000" w:themeColor="text1"/>
          <w:sz w:val="20"/>
          <w:szCs w:val="20"/>
        </w:rPr>
        <w:t xml:space="preserve">der </w:t>
      </w:r>
      <w:r w:rsidRPr="00537458">
        <w:rPr>
          <w:rFonts w:ascii="Cambria" w:hAnsi="Cambria"/>
          <w:color w:val="000000" w:themeColor="text1"/>
          <w:sz w:val="20"/>
          <w:szCs w:val="20"/>
        </w:rPr>
        <w:t xml:space="preserve">Ausgabe: </w:t>
      </w:r>
      <w:hyperlink r:id="rId9" w:history="1">
        <w:r w:rsidRPr="00537458">
          <w:rPr>
            <w:rStyle w:val="Hyperlink"/>
            <w:rFonts w:ascii="Cambria" w:hAnsi="Cambria"/>
            <w:color w:val="000000" w:themeColor="text1"/>
            <w:sz w:val="20"/>
            <w:szCs w:val="20"/>
          </w:rPr>
          <w:t>https://oll.libertyfund.org/titles/mill-on-liberty-and-the-subjection-of-women-1879-ed</w:t>
        </w:r>
      </w:hyperlink>
      <w:r w:rsidRPr="00537458">
        <w:rPr>
          <w:rFonts w:ascii="Cambria" w:hAnsi="Cambria"/>
          <w:color w:val="000000" w:themeColor="text1"/>
          <w:sz w:val="20"/>
          <w:szCs w:val="20"/>
        </w:rPr>
        <w:t>, 232-235, übersetzt von Katharina</w:t>
      </w:r>
      <w:r w:rsidRPr="00D115ED">
        <w:rPr>
          <w:rFonts w:ascii="Cambria" w:hAnsi="Cambria"/>
          <w:color w:val="000000" w:themeColor="text1"/>
          <w:sz w:val="20"/>
          <w:szCs w:val="20"/>
        </w:rPr>
        <w:t xml:space="preserve"> Schulz.</w:t>
      </w:r>
    </w:p>
    <w:p w14:paraId="35B62B19" w14:textId="3AF7E7FA" w:rsidR="00BA7027" w:rsidRDefault="00BA7027" w:rsidP="00AD05D2">
      <w:pPr>
        <w:spacing w:after="0" w:line="276" w:lineRule="auto"/>
        <w:jc w:val="both"/>
        <w:rPr>
          <w:rFonts w:ascii="Cambria" w:hAnsi="Cambria"/>
          <w:b/>
          <w:color w:val="000000" w:themeColor="text1"/>
          <w:sz w:val="24"/>
          <w:szCs w:val="24"/>
        </w:rPr>
        <w:sectPr w:rsidR="00BA7027" w:rsidSect="00BA7027">
          <w:type w:val="continuous"/>
          <w:pgSz w:w="11906" w:h="16838"/>
          <w:pgMar w:top="1418" w:right="1418" w:bottom="1134" w:left="1418" w:header="709" w:footer="709" w:gutter="0"/>
          <w:lnNumType w:countBy="3" w:restart="newSection"/>
          <w:cols w:space="708"/>
          <w:docGrid w:linePitch="360"/>
        </w:sectPr>
      </w:pPr>
    </w:p>
    <w:p w14:paraId="134800EA" w14:textId="77777777" w:rsidR="00AD05D2" w:rsidRPr="00D90148" w:rsidRDefault="00AD05D2" w:rsidP="00AD05D2">
      <w:pPr>
        <w:spacing w:after="0" w:line="276" w:lineRule="auto"/>
        <w:jc w:val="both"/>
        <w:rPr>
          <w:rFonts w:ascii="Cambria" w:hAnsi="Cambria"/>
          <w:b/>
          <w:bCs/>
          <w:color w:val="000000" w:themeColor="text1"/>
          <w:sz w:val="24"/>
          <w:szCs w:val="24"/>
        </w:rPr>
      </w:pPr>
      <w:r w:rsidRPr="00D90148">
        <w:rPr>
          <w:rFonts w:ascii="Cambria" w:hAnsi="Cambria"/>
          <w:b/>
          <w:bCs/>
          <w:color w:val="000000" w:themeColor="text1"/>
          <w:sz w:val="24"/>
          <w:szCs w:val="24"/>
        </w:rPr>
        <w:lastRenderedPageBreak/>
        <w:t xml:space="preserve">Veronika </w:t>
      </w:r>
      <w:proofErr w:type="spellStart"/>
      <w:r w:rsidRPr="00D90148">
        <w:rPr>
          <w:rFonts w:ascii="Cambria" w:hAnsi="Cambria"/>
          <w:b/>
          <w:bCs/>
          <w:color w:val="000000" w:themeColor="text1"/>
          <w:sz w:val="24"/>
          <w:szCs w:val="24"/>
        </w:rPr>
        <w:t>Ellecosta</w:t>
      </w:r>
      <w:proofErr w:type="spellEnd"/>
      <w:r w:rsidRPr="00D90148">
        <w:rPr>
          <w:rFonts w:ascii="Cambria" w:hAnsi="Cambria"/>
          <w:b/>
          <w:bCs/>
          <w:color w:val="000000" w:themeColor="text1"/>
          <w:sz w:val="28"/>
          <w:szCs w:val="28"/>
        </w:rPr>
        <w:t xml:space="preserve"> </w:t>
      </w:r>
      <w:r w:rsidRPr="00D90148">
        <w:rPr>
          <w:rFonts w:ascii="Cambria" w:hAnsi="Cambria"/>
          <w:b/>
          <w:bCs/>
          <w:color w:val="000000" w:themeColor="text1"/>
          <w:sz w:val="24"/>
          <w:szCs w:val="24"/>
        </w:rPr>
        <w:t>(2020), Ich wollte nicht unfreundlich sein</w:t>
      </w:r>
    </w:p>
    <w:p w14:paraId="5441A129" w14:textId="77777777" w:rsidR="00BA7027" w:rsidRDefault="00BA7027" w:rsidP="00AD05D2">
      <w:pPr>
        <w:spacing w:after="0" w:line="276" w:lineRule="auto"/>
        <w:jc w:val="both"/>
        <w:rPr>
          <w:rFonts w:ascii="Cambria" w:hAnsi="Cambria"/>
          <w:b/>
          <w:bCs/>
          <w:color w:val="000000" w:themeColor="text1"/>
          <w:sz w:val="24"/>
          <w:szCs w:val="24"/>
        </w:rPr>
      </w:pPr>
    </w:p>
    <w:p w14:paraId="6F2A0839" w14:textId="758D995E" w:rsidR="00BA7027" w:rsidRDefault="00BA7027" w:rsidP="00AD05D2">
      <w:pPr>
        <w:spacing w:after="0" w:line="276" w:lineRule="auto"/>
        <w:jc w:val="both"/>
        <w:rPr>
          <w:rFonts w:ascii="Cambria" w:hAnsi="Cambria"/>
          <w:b/>
          <w:bCs/>
          <w:color w:val="000000" w:themeColor="text1"/>
          <w:sz w:val="24"/>
          <w:szCs w:val="24"/>
        </w:rPr>
        <w:sectPr w:rsidR="00BA7027" w:rsidSect="00BB6DB4">
          <w:type w:val="continuous"/>
          <w:pgSz w:w="11906" w:h="16838"/>
          <w:pgMar w:top="1417" w:right="1417" w:bottom="1134" w:left="1417" w:header="708" w:footer="708" w:gutter="0"/>
          <w:cols w:space="708"/>
          <w:docGrid w:linePitch="360"/>
        </w:sectPr>
      </w:pPr>
    </w:p>
    <w:p w14:paraId="5F1F2EF3" w14:textId="77777777" w:rsidR="00AD05D2" w:rsidRPr="00D90148" w:rsidRDefault="00AD05D2" w:rsidP="00AD05D2">
      <w:pPr>
        <w:spacing w:after="0" w:line="276" w:lineRule="auto"/>
        <w:jc w:val="both"/>
        <w:rPr>
          <w:rFonts w:ascii="Cambria" w:eastAsia="Times New Roman" w:hAnsi="Cambria" w:cs="Times New Roman"/>
          <w:color w:val="000000" w:themeColor="text1"/>
          <w:sz w:val="24"/>
          <w:szCs w:val="24"/>
          <w:lang w:eastAsia="de-DE"/>
        </w:rPr>
      </w:pPr>
      <w:r w:rsidRPr="00D90148">
        <w:rPr>
          <w:rFonts w:ascii="Cambria" w:eastAsia="Times New Roman" w:hAnsi="Cambria" w:cs="Times New Roman"/>
          <w:color w:val="000000" w:themeColor="text1"/>
          <w:sz w:val="24"/>
          <w:szCs w:val="24"/>
          <w:lang w:eastAsia="de-DE"/>
        </w:rPr>
        <w:t xml:space="preserve">Woran liegt es, dass Frauen sich anscheinend oftmals auf Sex einlassen, den sie eigentlich nicht wollen? Und an wem liegt es, das zu ändern? Aline </w:t>
      </w:r>
      <w:proofErr w:type="spellStart"/>
      <w:r w:rsidRPr="00D90148">
        <w:rPr>
          <w:rFonts w:ascii="Cambria" w:eastAsia="Times New Roman" w:hAnsi="Cambria" w:cs="Times New Roman"/>
          <w:color w:val="000000" w:themeColor="text1"/>
          <w:sz w:val="24"/>
          <w:szCs w:val="24"/>
          <w:lang w:eastAsia="de-DE"/>
        </w:rPr>
        <w:t>Halhuber-Ahlmann</w:t>
      </w:r>
      <w:proofErr w:type="spellEnd"/>
      <w:r w:rsidRPr="00D90148">
        <w:rPr>
          <w:rFonts w:ascii="Cambria" w:eastAsia="Times New Roman" w:hAnsi="Cambria" w:cs="Times New Roman"/>
          <w:color w:val="000000" w:themeColor="text1"/>
          <w:sz w:val="24"/>
          <w:szCs w:val="24"/>
          <w:lang w:eastAsia="de-DE"/>
        </w:rPr>
        <w:t xml:space="preserve"> ist Politologin und Geschäftsführerin des Frauengesundheitszentrums Salzburg, das Frauen und Mädchen zu Themen rund um Sexualität, Gesundheit und Frauenpolitik informiert. Sie erklärt sich Verlegenheitssex so: „Wir Frauen werden oft Opfer unserer Erziehung: Wir fühlen uns besonders stark für das Wohlbefinden unseres Umfeldes verantwortlich. Denn Frauen werden als soziale, einfühlsame und hilfsbereite Wesen erzogen. Viele von uns sind stolz, wenn sie Wünsche anderer erahnen.“ Dieses Verhalten bringe Frauen manchmal in Situationen, in denen sie über die eigenen Bedürfnisse hinweggehen. Vielleicht erklärt das auch, warum einige Frauen auch dann noch vaginalen oder analen Sex haben, wenn sie dabei Schmerzen empfinden.  </w:t>
      </w:r>
    </w:p>
    <w:p w14:paraId="4A590249" w14:textId="77777777" w:rsidR="00AD05D2" w:rsidRPr="00D90148" w:rsidRDefault="00AD05D2" w:rsidP="00AD05D2">
      <w:pPr>
        <w:spacing w:after="0" w:line="276" w:lineRule="auto"/>
        <w:ind w:firstLine="284"/>
        <w:jc w:val="both"/>
        <w:rPr>
          <w:rFonts w:ascii="Cambria" w:eastAsia="Times New Roman" w:hAnsi="Cambria" w:cs="Times New Roman"/>
          <w:color w:val="000000" w:themeColor="text1"/>
          <w:sz w:val="24"/>
          <w:szCs w:val="24"/>
          <w:lang w:eastAsia="de-DE"/>
        </w:rPr>
      </w:pPr>
      <w:r w:rsidRPr="00D90148">
        <w:rPr>
          <w:rFonts w:ascii="Cambria" w:eastAsia="Times New Roman" w:hAnsi="Cambria" w:cs="Times New Roman"/>
          <w:color w:val="000000" w:themeColor="text1"/>
          <w:sz w:val="24"/>
          <w:szCs w:val="24"/>
          <w:lang w:eastAsia="de-DE"/>
        </w:rPr>
        <w:t xml:space="preserve">Vielen Frauen fällt es laut </w:t>
      </w:r>
      <w:proofErr w:type="spellStart"/>
      <w:r w:rsidRPr="00D90148">
        <w:rPr>
          <w:rFonts w:ascii="Cambria" w:eastAsia="Times New Roman" w:hAnsi="Cambria" w:cs="Times New Roman"/>
          <w:color w:val="000000" w:themeColor="text1"/>
          <w:sz w:val="24"/>
          <w:szCs w:val="24"/>
          <w:lang w:eastAsia="de-DE"/>
        </w:rPr>
        <w:t>Halhuber-Ahlmann</w:t>
      </w:r>
      <w:proofErr w:type="spellEnd"/>
      <w:r w:rsidRPr="00D90148">
        <w:rPr>
          <w:rFonts w:ascii="Cambria" w:eastAsia="Times New Roman" w:hAnsi="Cambria" w:cs="Times New Roman"/>
          <w:color w:val="000000" w:themeColor="text1"/>
          <w:sz w:val="24"/>
          <w:szCs w:val="24"/>
          <w:lang w:eastAsia="de-DE"/>
        </w:rPr>
        <w:t xml:space="preserve"> außerdem schwer, den Sex abzulehnen, wenn sie und ihr Gegenüber sich bereits geküsst oder intime Berührungen ausgetauscht haben. „Sie fürchten, den Mann damit zu kränken oder sogar aggressiv zu machen. Sie halten es für einfacher, ja zu sagen.“</w:t>
      </w:r>
    </w:p>
    <w:p w14:paraId="10380FD9" w14:textId="77777777" w:rsidR="00BA7027" w:rsidRDefault="00BA7027" w:rsidP="00AD05D2">
      <w:pPr>
        <w:spacing w:after="0" w:line="276" w:lineRule="auto"/>
        <w:ind w:firstLine="284"/>
        <w:jc w:val="both"/>
        <w:rPr>
          <w:rFonts w:ascii="Cambria" w:eastAsia="Times New Roman" w:hAnsi="Cambria" w:cs="Times New Roman"/>
          <w:color w:val="000000" w:themeColor="text1"/>
          <w:sz w:val="24"/>
          <w:szCs w:val="24"/>
          <w:lang w:eastAsia="de-DE"/>
        </w:rPr>
        <w:sectPr w:rsidR="00BA7027" w:rsidSect="00BA7027">
          <w:type w:val="continuous"/>
          <w:pgSz w:w="11906" w:h="16838"/>
          <w:pgMar w:top="1418" w:right="1418" w:bottom="1134" w:left="1418" w:header="709" w:footer="709" w:gutter="0"/>
          <w:lnNumType w:countBy="3"/>
          <w:cols w:space="708"/>
          <w:docGrid w:linePitch="360"/>
        </w:sectPr>
      </w:pPr>
    </w:p>
    <w:p w14:paraId="53B97479" w14:textId="70448891" w:rsidR="00AD05D2" w:rsidRPr="00D90148" w:rsidRDefault="00AD05D2" w:rsidP="00AD05D2">
      <w:pPr>
        <w:spacing w:after="0" w:line="276" w:lineRule="auto"/>
        <w:ind w:firstLine="284"/>
        <w:jc w:val="both"/>
        <w:rPr>
          <w:rFonts w:ascii="Cambria" w:eastAsia="Times New Roman" w:hAnsi="Cambria" w:cs="Times New Roman"/>
          <w:color w:val="000000" w:themeColor="text1"/>
          <w:sz w:val="24"/>
          <w:szCs w:val="24"/>
          <w:lang w:eastAsia="de-DE"/>
        </w:rPr>
      </w:pPr>
    </w:p>
    <w:p w14:paraId="0CB62A84" w14:textId="59E5D353" w:rsidR="00AD05D2" w:rsidRPr="00D90148" w:rsidRDefault="00AD05D2" w:rsidP="00AD05D2">
      <w:pPr>
        <w:tabs>
          <w:tab w:val="left" w:pos="8080"/>
        </w:tabs>
        <w:spacing w:after="0" w:line="276" w:lineRule="auto"/>
        <w:ind w:right="-142"/>
        <w:rPr>
          <w:rFonts w:ascii="Cambria" w:hAnsi="Cambria" w:cstheme="minorHAnsi"/>
          <w:color w:val="000000" w:themeColor="text1"/>
          <w:sz w:val="20"/>
          <w:szCs w:val="20"/>
        </w:rPr>
      </w:pPr>
      <w:r w:rsidRPr="00D90148">
        <w:rPr>
          <w:rFonts w:ascii="Cambria" w:hAnsi="Cambria" w:cstheme="minorHAnsi"/>
          <w:b/>
          <w:color w:val="000000" w:themeColor="text1"/>
          <w:sz w:val="20"/>
          <w:szCs w:val="20"/>
        </w:rPr>
        <w:t>Quelle</w:t>
      </w:r>
      <w:r w:rsidRPr="00D90148">
        <w:rPr>
          <w:rFonts w:ascii="Cambria" w:hAnsi="Cambria" w:cstheme="minorHAnsi"/>
          <w:color w:val="000000" w:themeColor="text1"/>
          <w:sz w:val="20"/>
          <w:szCs w:val="20"/>
        </w:rPr>
        <w:t>:</w:t>
      </w:r>
      <w:r w:rsidR="00D90148" w:rsidRPr="00D90148">
        <w:rPr>
          <w:rFonts w:ascii="Cambria" w:hAnsi="Cambria" w:cstheme="minorHAnsi"/>
          <w:color w:val="000000" w:themeColor="text1"/>
          <w:sz w:val="20"/>
          <w:szCs w:val="20"/>
        </w:rPr>
        <w:t xml:space="preserve"> </w:t>
      </w:r>
      <w:proofErr w:type="spellStart"/>
      <w:r w:rsidR="00D90148" w:rsidRPr="00D90148">
        <w:rPr>
          <w:rFonts w:ascii="Cambria" w:hAnsi="Cambria" w:cstheme="minorHAnsi"/>
          <w:color w:val="000000" w:themeColor="text1"/>
          <w:sz w:val="20"/>
          <w:szCs w:val="20"/>
        </w:rPr>
        <w:t>Ellecosta</w:t>
      </w:r>
      <w:proofErr w:type="spellEnd"/>
      <w:r w:rsidR="00D90148" w:rsidRPr="00D90148">
        <w:rPr>
          <w:rFonts w:ascii="Cambria" w:hAnsi="Cambria" w:cstheme="minorHAnsi"/>
          <w:color w:val="000000" w:themeColor="text1"/>
          <w:sz w:val="20"/>
          <w:szCs w:val="20"/>
        </w:rPr>
        <w:t>, Veronica (2020): „Ich wollte nicht unfreundlich sein“ Woran liegt es, dass Frauen sich anscheinend oft auf Sex einlassen, den sie eigentlich nicht wollen? URL:</w:t>
      </w:r>
      <w:r w:rsidR="00D90148" w:rsidRPr="00D90148">
        <w:rPr>
          <w:rFonts w:ascii="Cambria" w:hAnsi="Cambria"/>
          <w:color w:val="000000" w:themeColor="text1"/>
          <w:sz w:val="20"/>
          <w:szCs w:val="20"/>
        </w:rPr>
        <w:t xml:space="preserve"> </w:t>
      </w:r>
      <w:hyperlink r:id="rId10" w:history="1">
        <w:r w:rsidR="00D90148" w:rsidRPr="00D90148">
          <w:rPr>
            <w:rStyle w:val="Hyperlink"/>
            <w:rFonts w:ascii="Cambria" w:hAnsi="Cambria"/>
            <w:color w:val="000000" w:themeColor="text1"/>
            <w:sz w:val="20"/>
            <w:szCs w:val="20"/>
          </w:rPr>
          <w:t>https://www.jetzt.de/sex/warum-frauen-sich-auf-verlegenheitssex-einlassen</w:t>
        </w:r>
      </w:hyperlink>
      <w:r w:rsidR="00D90148" w:rsidRPr="00D90148">
        <w:rPr>
          <w:rFonts w:ascii="Cambria" w:hAnsi="Cambria" w:cstheme="minorHAnsi"/>
          <w:color w:val="000000" w:themeColor="text1"/>
          <w:sz w:val="20"/>
          <w:szCs w:val="20"/>
        </w:rPr>
        <w:t xml:space="preserve"> (</w:t>
      </w:r>
      <w:r w:rsidRPr="00D90148">
        <w:rPr>
          <w:rFonts w:ascii="Cambria" w:hAnsi="Cambria" w:cstheme="minorHAnsi"/>
          <w:color w:val="000000" w:themeColor="text1"/>
          <w:sz w:val="20"/>
          <w:szCs w:val="20"/>
        </w:rPr>
        <w:t>letzter Zugriff: 21.10.2020</w:t>
      </w:r>
      <w:r w:rsidR="00D90148" w:rsidRPr="00D90148">
        <w:rPr>
          <w:rFonts w:ascii="Cambria" w:hAnsi="Cambria" w:cstheme="minorHAnsi"/>
          <w:color w:val="000000" w:themeColor="text1"/>
          <w:sz w:val="20"/>
          <w:szCs w:val="20"/>
        </w:rPr>
        <w:t>)</w:t>
      </w:r>
    </w:p>
    <w:p w14:paraId="4389B44A" w14:textId="77777777" w:rsidR="00AD05D2" w:rsidRPr="00D90148" w:rsidRDefault="00AD05D2" w:rsidP="00AD05D2">
      <w:pPr>
        <w:pStyle w:val="Listenabsatz"/>
        <w:tabs>
          <w:tab w:val="left" w:pos="8080"/>
        </w:tabs>
        <w:spacing w:after="0" w:line="276" w:lineRule="auto"/>
        <w:ind w:left="284" w:right="-142"/>
        <w:rPr>
          <w:rFonts w:ascii="Cambria" w:hAnsi="Cambria" w:cstheme="minorHAnsi"/>
          <w:color w:val="000000" w:themeColor="text1"/>
          <w:sz w:val="18"/>
          <w:szCs w:val="18"/>
        </w:rPr>
      </w:pPr>
    </w:p>
    <w:p w14:paraId="14D6466A" w14:textId="77777777" w:rsidR="00AD05D2" w:rsidRPr="00D90148" w:rsidRDefault="00AD05D2" w:rsidP="00AD05D2">
      <w:pPr>
        <w:spacing w:after="0" w:line="276" w:lineRule="auto"/>
        <w:rPr>
          <w:rFonts w:ascii="Cambria" w:hAnsi="Cambria"/>
          <w:b/>
          <w:color w:val="000000" w:themeColor="text1"/>
          <w:sz w:val="24"/>
          <w:szCs w:val="24"/>
        </w:rPr>
      </w:pPr>
      <w:r w:rsidRPr="00D90148">
        <w:rPr>
          <w:rFonts w:ascii="Cambria" w:hAnsi="Cambria"/>
          <w:b/>
          <w:color w:val="000000" w:themeColor="text1"/>
          <w:sz w:val="24"/>
          <w:szCs w:val="24"/>
        </w:rPr>
        <w:br w:type="page"/>
      </w:r>
    </w:p>
    <w:p w14:paraId="5402B01B" w14:textId="74521A2B" w:rsidR="002E334F" w:rsidRPr="00D90148" w:rsidRDefault="002E334F" w:rsidP="00537458">
      <w:pPr>
        <w:rPr>
          <w:rFonts w:ascii="Cambria" w:hAnsi="Cambria"/>
          <w:b/>
          <w:color w:val="000000" w:themeColor="text1"/>
          <w:sz w:val="24"/>
          <w:szCs w:val="24"/>
        </w:rPr>
      </w:pPr>
      <w:r w:rsidRPr="00D90148">
        <w:rPr>
          <w:rFonts w:ascii="Cambria" w:hAnsi="Cambria"/>
          <w:b/>
          <w:color w:val="000000" w:themeColor="text1"/>
          <w:sz w:val="24"/>
          <w:szCs w:val="24"/>
        </w:rPr>
        <w:lastRenderedPageBreak/>
        <w:t xml:space="preserve">M2 </w:t>
      </w:r>
      <w:r w:rsidR="0048292B" w:rsidRPr="00D90148">
        <w:rPr>
          <w:rFonts w:ascii="Cambria" w:hAnsi="Cambria"/>
          <w:b/>
          <w:color w:val="000000" w:themeColor="text1"/>
          <w:sz w:val="24"/>
          <w:szCs w:val="24"/>
        </w:rPr>
        <w:t xml:space="preserve">Woher wissen wir, ob jemand kompetent einwilligt? </w:t>
      </w:r>
    </w:p>
    <w:p w14:paraId="062AED8E" w14:textId="77777777" w:rsidR="00CF4C37" w:rsidRPr="00D90148" w:rsidRDefault="00CF4C37" w:rsidP="00875C12">
      <w:pPr>
        <w:spacing w:after="0" w:line="276" w:lineRule="auto"/>
        <w:jc w:val="both"/>
        <w:rPr>
          <w:rFonts w:ascii="Cambria" w:hAnsi="Cambria"/>
          <w:color w:val="000000" w:themeColor="text1"/>
          <w:sz w:val="24"/>
          <w:szCs w:val="24"/>
        </w:rPr>
      </w:pPr>
    </w:p>
    <w:p w14:paraId="37E809B9" w14:textId="62AE72AF" w:rsidR="00CF4C37" w:rsidRPr="00D90148" w:rsidRDefault="00CF4C37" w:rsidP="00875C12">
      <w:pPr>
        <w:spacing w:after="0" w:line="276" w:lineRule="auto"/>
        <w:jc w:val="both"/>
        <w:rPr>
          <w:rFonts w:ascii="Cambria" w:hAnsi="Cambria"/>
          <w:color w:val="000000" w:themeColor="text1"/>
          <w:sz w:val="24"/>
          <w:szCs w:val="24"/>
        </w:rPr>
      </w:pPr>
      <w:r w:rsidRPr="00D90148">
        <w:rPr>
          <w:rFonts w:ascii="Cambria" w:hAnsi="Cambria"/>
          <w:color w:val="000000" w:themeColor="text1"/>
          <w:sz w:val="24"/>
          <w:szCs w:val="24"/>
        </w:rPr>
        <w:t xml:space="preserve">Wir haben </w:t>
      </w:r>
      <w:r w:rsidR="002649E2" w:rsidRPr="00D90148">
        <w:rPr>
          <w:rFonts w:ascii="Cambria" w:hAnsi="Cambria"/>
          <w:color w:val="000000" w:themeColor="text1"/>
          <w:sz w:val="24"/>
          <w:szCs w:val="24"/>
        </w:rPr>
        <w:t xml:space="preserve">Fälle </w:t>
      </w:r>
      <w:r w:rsidRPr="00D90148">
        <w:rPr>
          <w:rFonts w:ascii="Cambria" w:hAnsi="Cambria"/>
          <w:color w:val="000000" w:themeColor="text1"/>
          <w:sz w:val="24"/>
          <w:szCs w:val="24"/>
        </w:rPr>
        <w:t>kennengeler</w:t>
      </w:r>
      <w:r w:rsidR="007D6ED9" w:rsidRPr="00D90148">
        <w:rPr>
          <w:rFonts w:ascii="Cambria" w:hAnsi="Cambria"/>
          <w:color w:val="000000" w:themeColor="text1"/>
          <w:sz w:val="24"/>
          <w:szCs w:val="24"/>
        </w:rPr>
        <w:t>n</w:t>
      </w:r>
      <w:r w:rsidRPr="00D90148">
        <w:rPr>
          <w:rFonts w:ascii="Cambria" w:hAnsi="Cambria"/>
          <w:color w:val="000000" w:themeColor="text1"/>
          <w:sz w:val="24"/>
          <w:szCs w:val="24"/>
        </w:rPr>
        <w:t xml:space="preserve">t, </w:t>
      </w:r>
      <w:r w:rsidR="002649E2" w:rsidRPr="00D90148">
        <w:rPr>
          <w:rFonts w:ascii="Cambria" w:hAnsi="Cambria"/>
          <w:color w:val="000000" w:themeColor="text1"/>
          <w:sz w:val="24"/>
          <w:szCs w:val="24"/>
        </w:rPr>
        <w:t>in denen</w:t>
      </w:r>
      <w:r w:rsidRPr="00D90148">
        <w:rPr>
          <w:rFonts w:ascii="Cambria" w:hAnsi="Cambria"/>
          <w:color w:val="000000" w:themeColor="text1"/>
          <w:sz w:val="24"/>
          <w:szCs w:val="24"/>
        </w:rPr>
        <w:t xml:space="preserve"> es von den gesellschaftlichen Bedingungen abzuhängen schient, ob jemand </w:t>
      </w:r>
      <w:r w:rsidR="002649E2" w:rsidRPr="00D90148">
        <w:rPr>
          <w:rFonts w:ascii="Cambria" w:hAnsi="Cambria"/>
          <w:color w:val="000000" w:themeColor="text1"/>
          <w:sz w:val="24"/>
          <w:szCs w:val="24"/>
        </w:rPr>
        <w:t xml:space="preserve">grundsätzlich </w:t>
      </w:r>
      <w:r w:rsidRPr="00D90148">
        <w:rPr>
          <w:rFonts w:ascii="Cambria" w:hAnsi="Cambria"/>
          <w:color w:val="000000" w:themeColor="text1"/>
          <w:sz w:val="24"/>
          <w:szCs w:val="24"/>
        </w:rPr>
        <w:t>kompetent ist</w:t>
      </w:r>
      <w:r w:rsidR="002649E2" w:rsidRPr="00D90148">
        <w:rPr>
          <w:rFonts w:ascii="Cambria" w:hAnsi="Cambria"/>
          <w:color w:val="000000" w:themeColor="text1"/>
          <w:sz w:val="24"/>
          <w:szCs w:val="24"/>
        </w:rPr>
        <w:t>, eine gültige Einwilligung zu geben,</w:t>
      </w:r>
      <w:r w:rsidRPr="00D90148">
        <w:rPr>
          <w:rFonts w:ascii="Cambria" w:hAnsi="Cambria"/>
          <w:color w:val="000000" w:themeColor="text1"/>
          <w:sz w:val="24"/>
          <w:szCs w:val="24"/>
        </w:rPr>
        <w:t xml:space="preserve"> </w:t>
      </w:r>
      <w:r w:rsidR="002649E2" w:rsidRPr="00D90148">
        <w:rPr>
          <w:rFonts w:ascii="Cambria" w:hAnsi="Cambria"/>
          <w:color w:val="000000" w:themeColor="text1"/>
          <w:sz w:val="24"/>
          <w:szCs w:val="24"/>
        </w:rPr>
        <w:t>und</w:t>
      </w:r>
      <w:r w:rsidRPr="00D90148">
        <w:rPr>
          <w:rFonts w:ascii="Cambria" w:hAnsi="Cambria"/>
          <w:color w:val="000000" w:themeColor="text1"/>
          <w:sz w:val="24"/>
          <w:szCs w:val="24"/>
        </w:rPr>
        <w:t xml:space="preserve"> </w:t>
      </w:r>
      <w:r w:rsidR="002649E2" w:rsidRPr="00D90148">
        <w:rPr>
          <w:rFonts w:ascii="Cambria" w:hAnsi="Cambria"/>
          <w:color w:val="000000" w:themeColor="text1"/>
          <w:sz w:val="24"/>
          <w:szCs w:val="24"/>
        </w:rPr>
        <w:t>in denen</w:t>
      </w:r>
      <w:r w:rsidRPr="00D90148">
        <w:rPr>
          <w:rFonts w:ascii="Cambria" w:hAnsi="Cambria"/>
          <w:color w:val="000000" w:themeColor="text1"/>
          <w:sz w:val="24"/>
          <w:szCs w:val="24"/>
        </w:rPr>
        <w:t xml:space="preserve"> wir längerfristig dara</w:t>
      </w:r>
      <w:r w:rsidR="001F6AE1" w:rsidRPr="00D90148">
        <w:rPr>
          <w:rFonts w:ascii="Cambria" w:hAnsi="Cambria"/>
          <w:color w:val="000000" w:themeColor="text1"/>
          <w:sz w:val="24"/>
          <w:szCs w:val="24"/>
        </w:rPr>
        <w:t>u</w:t>
      </w:r>
      <w:r w:rsidRPr="00D90148">
        <w:rPr>
          <w:rFonts w:ascii="Cambria" w:hAnsi="Cambria"/>
          <w:color w:val="000000" w:themeColor="text1"/>
          <w:sz w:val="24"/>
          <w:szCs w:val="24"/>
        </w:rPr>
        <w:t xml:space="preserve">f Einfluss nehmen können, </w:t>
      </w:r>
      <w:r w:rsidR="002649E2" w:rsidRPr="00D90148">
        <w:rPr>
          <w:rFonts w:ascii="Cambria" w:hAnsi="Cambria"/>
          <w:color w:val="000000" w:themeColor="text1"/>
          <w:sz w:val="24"/>
          <w:szCs w:val="24"/>
        </w:rPr>
        <w:t>die nötigen Kompetenzen</w:t>
      </w:r>
      <w:r w:rsidRPr="00D90148">
        <w:rPr>
          <w:rFonts w:ascii="Cambria" w:hAnsi="Cambria"/>
          <w:color w:val="000000" w:themeColor="text1"/>
          <w:sz w:val="24"/>
          <w:szCs w:val="24"/>
        </w:rPr>
        <w:t xml:space="preserve"> zu entwickeln. Es gibt </w:t>
      </w:r>
      <w:r w:rsidR="002649E2" w:rsidRPr="00D90148">
        <w:rPr>
          <w:rFonts w:ascii="Cambria" w:hAnsi="Cambria"/>
          <w:color w:val="000000" w:themeColor="text1"/>
          <w:sz w:val="24"/>
          <w:szCs w:val="24"/>
        </w:rPr>
        <w:t>allerdings</w:t>
      </w:r>
      <w:r w:rsidRPr="00D90148">
        <w:rPr>
          <w:rFonts w:ascii="Cambria" w:hAnsi="Cambria"/>
          <w:color w:val="000000" w:themeColor="text1"/>
          <w:sz w:val="24"/>
          <w:szCs w:val="24"/>
        </w:rPr>
        <w:t xml:space="preserve"> auch</w:t>
      </w:r>
      <w:r w:rsidR="002649E2" w:rsidRPr="00D90148">
        <w:rPr>
          <w:rFonts w:ascii="Cambria" w:hAnsi="Cambria"/>
          <w:color w:val="000000" w:themeColor="text1"/>
          <w:sz w:val="24"/>
          <w:szCs w:val="24"/>
        </w:rPr>
        <w:t xml:space="preserve"> Situationen</w:t>
      </w:r>
      <w:r w:rsidRPr="00D90148">
        <w:rPr>
          <w:rFonts w:ascii="Cambria" w:hAnsi="Cambria"/>
          <w:color w:val="000000" w:themeColor="text1"/>
          <w:sz w:val="24"/>
          <w:szCs w:val="24"/>
        </w:rPr>
        <w:t xml:space="preserve">, in denen jemand </w:t>
      </w:r>
      <w:r w:rsidR="00504D93" w:rsidRPr="00D90148">
        <w:rPr>
          <w:rFonts w:ascii="Cambria" w:hAnsi="Cambria"/>
          <w:color w:val="000000" w:themeColor="text1"/>
          <w:sz w:val="24"/>
          <w:szCs w:val="24"/>
        </w:rPr>
        <w:t>aufgrund akuter Umstände offensichtlich keine kompetente Einwilligung geben kann.</w:t>
      </w:r>
      <w:r w:rsidRPr="00D90148">
        <w:rPr>
          <w:rFonts w:ascii="Cambria" w:hAnsi="Cambria"/>
          <w:color w:val="000000" w:themeColor="text1"/>
          <w:sz w:val="24"/>
          <w:szCs w:val="24"/>
        </w:rPr>
        <w:t xml:space="preserve"> </w:t>
      </w:r>
    </w:p>
    <w:p w14:paraId="5BC9CD54" w14:textId="77777777" w:rsidR="00CF4C37" w:rsidRPr="00D90148" w:rsidRDefault="00CF4C37" w:rsidP="00875C12">
      <w:pPr>
        <w:spacing w:after="0" w:line="276" w:lineRule="auto"/>
        <w:jc w:val="both"/>
        <w:rPr>
          <w:rFonts w:ascii="Cambria" w:hAnsi="Cambria"/>
          <w:color w:val="000000" w:themeColor="text1"/>
          <w:sz w:val="24"/>
          <w:szCs w:val="24"/>
        </w:rPr>
      </w:pPr>
    </w:p>
    <w:p w14:paraId="67D70886" w14:textId="77777777" w:rsidR="0048292B" w:rsidRPr="00D90148" w:rsidRDefault="0048292B" w:rsidP="00875C12">
      <w:pPr>
        <w:spacing w:after="0" w:line="276" w:lineRule="auto"/>
        <w:jc w:val="both"/>
        <w:rPr>
          <w:rFonts w:ascii="Cambria" w:hAnsi="Cambria"/>
          <w:b/>
          <w:color w:val="000000" w:themeColor="text1"/>
          <w:sz w:val="24"/>
          <w:szCs w:val="24"/>
        </w:rPr>
      </w:pPr>
      <w:r w:rsidRPr="00D90148">
        <w:rPr>
          <w:rFonts w:ascii="Cambria" w:hAnsi="Cambria"/>
          <w:b/>
          <w:color w:val="000000" w:themeColor="text1"/>
          <w:sz w:val="24"/>
          <w:szCs w:val="24"/>
        </w:rPr>
        <w:t xml:space="preserve">Aufgaben </w:t>
      </w:r>
    </w:p>
    <w:p w14:paraId="3F6EE3EE" w14:textId="77777777" w:rsidR="0048292B" w:rsidRPr="00D90148" w:rsidRDefault="0048292B" w:rsidP="00875C12">
      <w:pPr>
        <w:spacing w:after="0" w:line="276" w:lineRule="auto"/>
        <w:jc w:val="both"/>
        <w:rPr>
          <w:rFonts w:ascii="Cambria" w:hAnsi="Cambria"/>
          <w:color w:val="000000" w:themeColor="text1"/>
          <w:sz w:val="24"/>
          <w:szCs w:val="24"/>
        </w:rPr>
      </w:pPr>
    </w:p>
    <w:p w14:paraId="29A7A649" w14:textId="5F5E02D0" w:rsidR="00504D93" w:rsidRPr="00D90148" w:rsidRDefault="00504D93" w:rsidP="00B20F90">
      <w:pPr>
        <w:pStyle w:val="Listenabsatz"/>
        <w:numPr>
          <w:ilvl w:val="0"/>
          <w:numId w:val="5"/>
        </w:numPr>
        <w:spacing w:after="0" w:line="276" w:lineRule="auto"/>
        <w:ind w:left="284" w:hanging="284"/>
        <w:jc w:val="both"/>
        <w:rPr>
          <w:rFonts w:ascii="Cambria" w:hAnsi="Cambria"/>
          <w:color w:val="000000" w:themeColor="text1"/>
          <w:sz w:val="24"/>
          <w:szCs w:val="24"/>
        </w:rPr>
      </w:pPr>
      <w:r w:rsidRPr="00D90148">
        <w:rPr>
          <w:rFonts w:ascii="Cambria" w:hAnsi="Cambria"/>
          <w:color w:val="000000" w:themeColor="text1"/>
          <w:sz w:val="24"/>
          <w:szCs w:val="24"/>
        </w:rPr>
        <w:t xml:space="preserve">Überlegt euch </w:t>
      </w:r>
      <w:r w:rsidR="004D5B46" w:rsidRPr="00D90148">
        <w:rPr>
          <w:rFonts w:ascii="Cambria" w:hAnsi="Cambria"/>
          <w:color w:val="000000" w:themeColor="text1"/>
          <w:sz w:val="24"/>
          <w:szCs w:val="24"/>
        </w:rPr>
        <w:t xml:space="preserve">mindestens zwei </w:t>
      </w:r>
      <w:r w:rsidRPr="00D90148">
        <w:rPr>
          <w:rFonts w:ascii="Cambria" w:hAnsi="Cambria"/>
          <w:color w:val="000000" w:themeColor="text1"/>
          <w:sz w:val="24"/>
          <w:szCs w:val="24"/>
        </w:rPr>
        <w:t xml:space="preserve">Beispiele für Situationen, in denen jemand aufgrund akuter Umstände </w:t>
      </w:r>
      <w:r w:rsidR="004D5B46" w:rsidRPr="00D90148">
        <w:rPr>
          <w:rFonts w:ascii="Cambria" w:hAnsi="Cambria"/>
          <w:color w:val="000000" w:themeColor="text1"/>
          <w:sz w:val="24"/>
          <w:szCs w:val="24"/>
        </w:rPr>
        <w:t xml:space="preserve">offensichtlich </w:t>
      </w:r>
      <w:r w:rsidRPr="00D90148">
        <w:rPr>
          <w:rFonts w:ascii="Cambria" w:hAnsi="Cambria"/>
          <w:color w:val="000000" w:themeColor="text1"/>
          <w:sz w:val="24"/>
          <w:szCs w:val="24"/>
        </w:rPr>
        <w:t>keine kompetente Einwilligung geben kann. Tragt diese Beispiele in die folgende Tabelle ein und erläutert, woran Außenstehende in der jeweiligen Situation die fehlende Kompetenz erkennen können.</w:t>
      </w:r>
    </w:p>
    <w:p w14:paraId="5605420F" w14:textId="77777777" w:rsidR="00504D93" w:rsidRPr="00D90148" w:rsidRDefault="00504D93" w:rsidP="00504D93">
      <w:pPr>
        <w:pStyle w:val="Listenabsatz"/>
        <w:spacing w:after="0" w:line="276" w:lineRule="auto"/>
        <w:ind w:left="284"/>
        <w:jc w:val="both"/>
        <w:rPr>
          <w:rFonts w:ascii="Cambria" w:hAnsi="Cambria"/>
          <w:color w:val="000000" w:themeColor="text1"/>
          <w:sz w:val="24"/>
          <w:szCs w:val="24"/>
        </w:rPr>
      </w:pPr>
    </w:p>
    <w:tbl>
      <w:tblPr>
        <w:tblStyle w:val="Tabellenraster"/>
        <w:tblW w:w="0" w:type="auto"/>
        <w:tblInd w:w="284" w:type="dxa"/>
        <w:tblLook w:val="04A0" w:firstRow="1" w:lastRow="0" w:firstColumn="1" w:lastColumn="0" w:noHBand="0" w:noVBand="1"/>
      </w:tblPr>
      <w:tblGrid>
        <w:gridCol w:w="544"/>
        <w:gridCol w:w="4080"/>
        <w:gridCol w:w="4380"/>
      </w:tblGrid>
      <w:tr w:rsidR="00D90148" w:rsidRPr="006E129D" w14:paraId="22E3A9D6" w14:textId="77777777" w:rsidTr="00504D93">
        <w:tc>
          <w:tcPr>
            <w:tcW w:w="544" w:type="dxa"/>
            <w:shd w:val="clear" w:color="auto" w:fill="D0CECE" w:themeFill="background2" w:themeFillShade="E6"/>
          </w:tcPr>
          <w:p w14:paraId="54995040" w14:textId="77777777" w:rsidR="00504D93" w:rsidRPr="006E129D" w:rsidRDefault="00504D93" w:rsidP="006E129D">
            <w:pPr>
              <w:pStyle w:val="Listenabsatz"/>
              <w:spacing w:line="276" w:lineRule="auto"/>
              <w:ind w:left="0"/>
              <w:jc w:val="center"/>
              <w:rPr>
                <w:rFonts w:ascii="Cambria" w:hAnsi="Cambria"/>
                <w:b/>
                <w:color w:val="000000" w:themeColor="text1"/>
                <w:sz w:val="20"/>
                <w:szCs w:val="20"/>
              </w:rPr>
            </w:pPr>
          </w:p>
        </w:tc>
        <w:tc>
          <w:tcPr>
            <w:tcW w:w="4080" w:type="dxa"/>
            <w:shd w:val="clear" w:color="auto" w:fill="D0CECE" w:themeFill="background2" w:themeFillShade="E6"/>
          </w:tcPr>
          <w:p w14:paraId="18A89925" w14:textId="06D291C3" w:rsidR="00504D93" w:rsidRPr="006E129D" w:rsidRDefault="00504D93" w:rsidP="006E129D">
            <w:pPr>
              <w:pStyle w:val="Listenabsatz"/>
              <w:spacing w:line="276" w:lineRule="auto"/>
              <w:ind w:left="0"/>
              <w:jc w:val="center"/>
              <w:rPr>
                <w:rFonts w:ascii="Cambria" w:hAnsi="Cambria"/>
                <w:b/>
                <w:color w:val="000000" w:themeColor="text1"/>
                <w:sz w:val="20"/>
                <w:szCs w:val="20"/>
              </w:rPr>
            </w:pPr>
            <w:r w:rsidRPr="006E129D">
              <w:rPr>
                <w:rFonts w:ascii="Cambria" w:hAnsi="Cambria"/>
                <w:b/>
                <w:color w:val="000000" w:themeColor="text1"/>
                <w:sz w:val="20"/>
                <w:szCs w:val="20"/>
              </w:rPr>
              <w:t>Situation</w:t>
            </w:r>
          </w:p>
        </w:tc>
        <w:tc>
          <w:tcPr>
            <w:tcW w:w="4380" w:type="dxa"/>
            <w:shd w:val="clear" w:color="auto" w:fill="D0CECE" w:themeFill="background2" w:themeFillShade="E6"/>
          </w:tcPr>
          <w:p w14:paraId="1707D784" w14:textId="7D7D0BE5" w:rsidR="00504D93" w:rsidRPr="006E129D" w:rsidRDefault="00504D93" w:rsidP="006E129D">
            <w:pPr>
              <w:pStyle w:val="Listenabsatz"/>
              <w:spacing w:line="276" w:lineRule="auto"/>
              <w:ind w:left="0"/>
              <w:jc w:val="center"/>
              <w:rPr>
                <w:rFonts w:ascii="Cambria" w:hAnsi="Cambria"/>
                <w:b/>
                <w:color w:val="000000" w:themeColor="text1"/>
                <w:sz w:val="20"/>
                <w:szCs w:val="20"/>
              </w:rPr>
            </w:pPr>
            <w:r w:rsidRPr="006E129D">
              <w:rPr>
                <w:rFonts w:ascii="Cambria" w:hAnsi="Cambria"/>
                <w:b/>
                <w:color w:val="000000" w:themeColor="text1"/>
                <w:sz w:val="20"/>
                <w:szCs w:val="20"/>
              </w:rPr>
              <w:t>Indizien für die fehlende Kompetenz</w:t>
            </w:r>
          </w:p>
        </w:tc>
      </w:tr>
      <w:tr w:rsidR="00D90148" w:rsidRPr="006E129D" w14:paraId="37224513" w14:textId="77777777" w:rsidTr="00504D93">
        <w:tc>
          <w:tcPr>
            <w:tcW w:w="544" w:type="dxa"/>
          </w:tcPr>
          <w:p w14:paraId="12F74A24" w14:textId="5A0A2A77" w:rsidR="00504D93" w:rsidRPr="006E129D" w:rsidRDefault="00504D93" w:rsidP="00504D93">
            <w:pPr>
              <w:pStyle w:val="Listenabsatz"/>
              <w:spacing w:line="276" w:lineRule="auto"/>
              <w:ind w:left="0"/>
              <w:jc w:val="both"/>
              <w:rPr>
                <w:rFonts w:ascii="Cambria" w:hAnsi="Cambria"/>
                <w:color w:val="000000" w:themeColor="text1"/>
                <w:sz w:val="20"/>
                <w:szCs w:val="20"/>
              </w:rPr>
            </w:pPr>
            <w:r w:rsidRPr="006E129D">
              <w:rPr>
                <w:rFonts w:ascii="Cambria" w:hAnsi="Cambria"/>
                <w:color w:val="000000" w:themeColor="text1"/>
                <w:sz w:val="20"/>
                <w:szCs w:val="20"/>
              </w:rPr>
              <w:t>1.</w:t>
            </w:r>
          </w:p>
        </w:tc>
        <w:tc>
          <w:tcPr>
            <w:tcW w:w="4080" w:type="dxa"/>
          </w:tcPr>
          <w:p w14:paraId="7DF08A4C"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p w14:paraId="017DB709"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p w14:paraId="23582EF4"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p w14:paraId="63189E07" w14:textId="77777777" w:rsidR="00504D93" w:rsidRDefault="00504D93" w:rsidP="00504D93">
            <w:pPr>
              <w:pStyle w:val="Listenabsatz"/>
              <w:spacing w:line="276" w:lineRule="auto"/>
              <w:ind w:left="0"/>
              <w:jc w:val="both"/>
              <w:rPr>
                <w:rFonts w:ascii="Cambria" w:hAnsi="Cambria"/>
                <w:color w:val="000000" w:themeColor="text1"/>
                <w:sz w:val="20"/>
                <w:szCs w:val="20"/>
              </w:rPr>
            </w:pPr>
          </w:p>
          <w:p w14:paraId="33E400ED" w14:textId="58A23D5A" w:rsidR="006E129D" w:rsidRPr="006E129D" w:rsidRDefault="006E129D" w:rsidP="00504D93">
            <w:pPr>
              <w:pStyle w:val="Listenabsatz"/>
              <w:spacing w:line="276" w:lineRule="auto"/>
              <w:ind w:left="0"/>
              <w:jc w:val="both"/>
              <w:rPr>
                <w:rFonts w:ascii="Cambria" w:hAnsi="Cambria"/>
                <w:color w:val="000000" w:themeColor="text1"/>
                <w:sz w:val="20"/>
                <w:szCs w:val="20"/>
              </w:rPr>
            </w:pPr>
          </w:p>
        </w:tc>
        <w:tc>
          <w:tcPr>
            <w:tcW w:w="4380" w:type="dxa"/>
          </w:tcPr>
          <w:p w14:paraId="4D044044"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tc>
      </w:tr>
      <w:tr w:rsidR="00D90148" w:rsidRPr="006E129D" w14:paraId="2A53AD3E" w14:textId="77777777" w:rsidTr="00504D93">
        <w:tc>
          <w:tcPr>
            <w:tcW w:w="544" w:type="dxa"/>
          </w:tcPr>
          <w:p w14:paraId="38C0B19C" w14:textId="10B27D19" w:rsidR="00504D93" w:rsidRPr="006E129D" w:rsidRDefault="00504D93" w:rsidP="00504D93">
            <w:pPr>
              <w:pStyle w:val="Listenabsatz"/>
              <w:spacing w:line="276" w:lineRule="auto"/>
              <w:ind w:left="0"/>
              <w:jc w:val="both"/>
              <w:rPr>
                <w:rFonts w:ascii="Cambria" w:hAnsi="Cambria"/>
                <w:color w:val="000000" w:themeColor="text1"/>
                <w:sz w:val="20"/>
                <w:szCs w:val="20"/>
              </w:rPr>
            </w:pPr>
            <w:r w:rsidRPr="006E129D">
              <w:rPr>
                <w:rFonts w:ascii="Cambria" w:hAnsi="Cambria"/>
                <w:color w:val="000000" w:themeColor="text1"/>
                <w:sz w:val="20"/>
                <w:szCs w:val="20"/>
              </w:rPr>
              <w:t>2.</w:t>
            </w:r>
          </w:p>
        </w:tc>
        <w:tc>
          <w:tcPr>
            <w:tcW w:w="4080" w:type="dxa"/>
          </w:tcPr>
          <w:p w14:paraId="08E7270E"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p w14:paraId="627A454F"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p w14:paraId="268EA3CE"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p w14:paraId="60622DF0" w14:textId="77777777" w:rsidR="00504D93" w:rsidRDefault="00504D93" w:rsidP="00504D93">
            <w:pPr>
              <w:pStyle w:val="Listenabsatz"/>
              <w:spacing w:line="276" w:lineRule="auto"/>
              <w:ind w:left="0"/>
              <w:jc w:val="both"/>
              <w:rPr>
                <w:rFonts w:ascii="Cambria" w:hAnsi="Cambria"/>
                <w:color w:val="000000" w:themeColor="text1"/>
                <w:sz w:val="20"/>
                <w:szCs w:val="20"/>
              </w:rPr>
            </w:pPr>
          </w:p>
          <w:p w14:paraId="536A80FE" w14:textId="427367CE" w:rsidR="006E129D" w:rsidRPr="006E129D" w:rsidRDefault="006E129D" w:rsidP="00504D93">
            <w:pPr>
              <w:pStyle w:val="Listenabsatz"/>
              <w:spacing w:line="276" w:lineRule="auto"/>
              <w:ind w:left="0"/>
              <w:jc w:val="both"/>
              <w:rPr>
                <w:rFonts w:ascii="Cambria" w:hAnsi="Cambria"/>
                <w:color w:val="000000" w:themeColor="text1"/>
                <w:sz w:val="20"/>
                <w:szCs w:val="20"/>
              </w:rPr>
            </w:pPr>
          </w:p>
        </w:tc>
        <w:tc>
          <w:tcPr>
            <w:tcW w:w="4380" w:type="dxa"/>
          </w:tcPr>
          <w:p w14:paraId="37E36984"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tc>
      </w:tr>
      <w:tr w:rsidR="00D90148" w:rsidRPr="006E129D" w14:paraId="5656669A" w14:textId="77777777" w:rsidTr="00504D93">
        <w:tc>
          <w:tcPr>
            <w:tcW w:w="544" w:type="dxa"/>
          </w:tcPr>
          <w:p w14:paraId="6729F784" w14:textId="04B742AC" w:rsidR="00504D93" w:rsidRPr="006E129D" w:rsidRDefault="00504D93" w:rsidP="00504D93">
            <w:pPr>
              <w:pStyle w:val="Listenabsatz"/>
              <w:spacing w:line="276" w:lineRule="auto"/>
              <w:ind w:left="0"/>
              <w:jc w:val="both"/>
              <w:rPr>
                <w:rFonts w:ascii="Cambria" w:hAnsi="Cambria"/>
                <w:color w:val="000000" w:themeColor="text1"/>
                <w:sz w:val="20"/>
                <w:szCs w:val="20"/>
              </w:rPr>
            </w:pPr>
            <w:r w:rsidRPr="006E129D">
              <w:rPr>
                <w:rFonts w:ascii="Cambria" w:hAnsi="Cambria"/>
                <w:color w:val="000000" w:themeColor="text1"/>
                <w:sz w:val="20"/>
                <w:szCs w:val="20"/>
              </w:rPr>
              <w:t>3.</w:t>
            </w:r>
          </w:p>
        </w:tc>
        <w:tc>
          <w:tcPr>
            <w:tcW w:w="4080" w:type="dxa"/>
          </w:tcPr>
          <w:p w14:paraId="2F2A9CCE"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p w14:paraId="58E7D34B"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p w14:paraId="6BA979C3"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p w14:paraId="79FAF3B9" w14:textId="77777777" w:rsidR="00504D93" w:rsidRDefault="00504D93" w:rsidP="00504D93">
            <w:pPr>
              <w:pStyle w:val="Listenabsatz"/>
              <w:spacing w:line="276" w:lineRule="auto"/>
              <w:ind w:left="0"/>
              <w:jc w:val="both"/>
              <w:rPr>
                <w:rFonts w:ascii="Cambria" w:hAnsi="Cambria"/>
                <w:color w:val="000000" w:themeColor="text1"/>
                <w:sz w:val="20"/>
                <w:szCs w:val="20"/>
              </w:rPr>
            </w:pPr>
          </w:p>
          <w:p w14:paraId="5009748B" w14:textId="318943CE" w:rsidR="006E129D" w:rsidRPr="006E129D" w:rsidRDefault="006E129D" w:rsidP="00504D93">
            <w:pPr>
              <w:pStyle w:val="Listenabsatz"/>
              <w:spacing w:line="276" w:lineRule="auto"/>
              <w:ind w:left="0"/>
              <w:jc w:val="both"/>
              <w:rPr>
                <w:rFonts w:ascii="Cambria" w:hAnsi="Cambria"/>
                <w:color w:val="000000" w:themeColor="text1"/>
                <w:sz w:val="20"/>
                <w:szCs w:val="20"/>
              </w:rPr>
            </w:pPr>
          </w:p>
        </w:tc>
        <w:tc>
          <w:tcPr>
            <w:tcW w:w="4380" w:type="dxa"/>
          </w:tcPr>
          <w:p w14:paraId="15C8E06D" w14:textId="77777777" w:rsidR="00504D93" w:rsidRPr="006E129D" w:rsidRDefault="00504D93" w:rsidP="00504D93">
            <w:pPr>
              <w:pStyle w:val="Listenabsatz"/>
              <w:spacing w:line="276" w:lineRule="auto"/>
              <w:ind w:left="0"/>
              <w:jc w:val="both"/>
              <w:rPr>
                <w:rFonts w:ascii="Cambria" w:hAnsi="Cambria"/>
                <w:color w:val="000000" w:themeColor="text1"/>
                <w:sz w:val="20"/>
                <w:szCs w:val="20"/>
              </w:rPr>
            </w:pPr>
          </w:p>
        </w:tc>
      </w:tr>
    </w:tbl>
    <w:p w14:paraId="1C2B06D7" w14:textId="0F2215B6" w:rsidR="00CF4C37" w:rsidRPr="00D90148" w:rsidRDefault="00CF4C37" w:rsidP="00504D93">
      <w:pPr>
        <w:pStyle w:val="Listenabsatz"/>
        <w:spacing w:after="0" w:line="276" w:lineRule="auto"/>
        <w:ind w:left="284"/>
        <w:jc w:val="both"/>
        <w:rPr>
          <w:rFonts w:ascii="Cambria" w:hAnsi="Cambria"/>
          <w:color w:val="000000" w:themeColor="text1"/>
          <w:sz w:val="24"/>
          <w:szCs w:val="24"/>
        </w:rPr>
      </w:pPr>
      <w:r w:rsidRPr="00D90148">
        <w:rPr>
          <w:rFonts w:ascii="Cambria" w:hAnsi="Cambria"/>
          <w:color w:val="000000" w:themeColor="text1"/>
          <w:sz w:val="24"/>
          <w:szCs w:val="24"/>
        </w:rPr>
        <w:t xml:space="preserve"> </w:t>
      </w:r>
    </w:p>
    <w:p w14:paraId="39B236BB" w14:textId="735B8325" w:rsidR="008E1791" w:rsidRPr="00D90148" w:rsidRDefault="00CF4C37" w:rsidP="00EB1589">
      <w:pPr>
        <w:pStyle w:val="Listenabsatz"/>
        <w:numPr>
          <w:ilvl w:val="0"/>
          <w:numId w:val="5"/>
        </w:numPr>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In manchen Fällen ist nicht</w:t>
      </w:r>
      <w:r w:rsidR="00504D93" w:rsidRPr="00D90148">
        <w:rPr>
          <w:rFonts w:ascii="Cambria" w:hAnsi="Cambria"/>
          <w:color w:val="000000" w:themeColor="text1"/>
          <w:sz w:val="24"/>
          <w:szCs w:val="24"/>
        </w:rPr>
        <w:t xml:space="preserve"> ganz</w:t>
      </w:r>
      <w:r w:rsidRPr="00D90148">
        <w:rPr>
          <w:rFonts w:ascii="Cambria" w:hAnsi="Cambria"/>
          <w:color w:val="000000" w:themeColor="text1"/>
          <w:sz w:val="24"/>
          <w:szCs w:val="24"/>
        </w:rPr>
        <w:t xml:space="preserve"> klar, ob </w:t>
      </w:r>
      <w:r w:rsidR="0072384E" w:rsidRPr="00D90148">
        <w:rPr>
          <w:rFonts w:ascii="Cambria" w:hAnsi="Cambria"/>
          <w:color w:val="000000" w:themeColor="text1"/>
          <w:sz w:val="24"/>
          <w:szCs w:val="24"/>
        </w:rPr>
        <w:t>die Einwilligung, die jemand gegeben hat, kompetent ist oder nicht. Betrachten wir etwa folgende Situation</w:t>
      </w:r>
      <w:r w:rsidR="00504D93" w:rsidRPr="00D90148">
        <w:rPr>
          <w:rFonts w:ascii="Cambria" w:hAnsi="Cambria"/>
          <w:color w:val="000000" w:themeColor="text1"/>
          <w:sz w:val="24"/>
          <w:szCs w:val="24"/>
        </w:rPr>
        <w:t>:</w:t>
      </w:r>
    </w:p>
    <w:p w14:paraId="5E2DF29D" w14:textId="77777777" w:rsidR="0060754C" w:rsidRPr="00D90148" w:rsidRDefault="0060754C" w:rsidP="00EB1589">
      <w:pPr>
        <w:pStyle w:val="Listenabsatz"/>
        <w:spacing w:after="0" w:line="276" w:lineRule="auto"/>
        <w:ind w:left="426" w:hanging="426"/>
        <w:jc w:val="both"/>
        <w:rPr>
          <w:rFonts w:ascii="Cambria" w:hAnsi="Cambria"/>
          <w:color w:val="000000" w:themeColor="text1"/>
          <w:sz w:val="24"/>
          <w:szCs w:val="24"/>
        </w:rPr>
      </w:pPr>
      <w:bookmarkStart w:id="0" w:name="_GoBack"/>
      <w:bookmarkEnd w:id="0"/>
    </w:p>
    <w:p w14:paraId="18C307F9" w14:textId="084A47D7" w:rsidR="0072384E" w:rsidRPr="00EB1589" w:rsidRDefault="0072384E" w:rsidP="00EB1589">
      <w:pPr>
        <w:pStyle w:val="Listenabsatz"/>
        <w:spacing w:after="0" w:line="276" w:lineRule="auto"/>
        <w:ind w:left="426"/>
        <w:jc w:val="both"/>
        <w:rPr>
          <w:rFonts w:ascii="Cambria" w:hAnsi="Cambria"/>
          <w:i/>
          <w:color w:val="000000" w:themeColor="text1"/>
          <w:sz w:val="24"/>
          <w:szCs w:val="24"/>
        </w:rPr>
      </w:pPr>
      <w:r w:rsidRPr="00EB1589">
        <w:rPr>
          <w:rFonts w:ascii="Cambria" w:hAnsi="Cambria"/>
          <w:i/>
          <w:color w:val="000000" w:themeColor="text1"/>
          <w:sz w:val="24"/>
          <w:szCs w:val="24"/>
        </w:rPr>
        <w:t xml:space="preserve">A lernt B in einer Bar kennen. </w:t>
      </w:r>
      <w:r w:rsidR="009E1FC1" w:rsidRPr="00EB1589">
        <w:rPr>
          <w:rFonts w:ascii="Cambria" w:hAnsi="Cambria"/>
          <w:i/>
          <w:color w:val="000000" w:themeColor="text1"/>
          <w:sz w:val="24"/>
          <w:szCs w:val="24"/>
        </w:rPr>
        <w:t xml:space="preserve">Die beiden verstehen sich gut und B willigt im Laufe des Abends ein, mit A nach Hause zu gehen und Sex zu haben. </w:t>
      </w:r>
      <w:r w:rsidR="0060754C" w:rsidRPr="00EB1589">
        <w:rPr>
          <w:rFonts w:ascii="Cambria" w:hAnsi="Cambria"/>
          <w:i/>
          <w:color w:val="000000" w:themeColor="text1"/>
          <w:sz w:val="24"/>
          <w:szCs w:val="24"/>
        </w:rPr>
        <w:t xml:space="preserve">Wenige Minuten danach erfährt A jedoch, dass B eine harte Trennung hinter sich hat und </w:t>
      </w:r>
      <w:r w:rsidR="004D5B46" w:rsidRPr="00EB1589">
        <w:rPr>
          <w:rFonts w:ascii="Cambria" w:hAnsi="Cambria"/>
          <w:i/>
          <w:color w:val="000000" w:themeColor="text1"/>
          <w:sz w:val="24"/>
          <w:szCs w:val="24"/>
        </w:rPr>
        <w:t xml:space="preserve">erst </w:t>
      </w:r>
      <w:r w:rsidR="0060754C" w:rsidRPr="00EB1589">
        <w:rPr>
          <w:rFonts w:ascii="Cambria" w:hAnsi="Cambria"/>
          <w:i/>
          <w:color w:val="000000" w:themeColor="text1"/>
          <w:sz w:val="24"/>
          <w:szCs w:val="24"/>
        </w:rPr>
        <w:t>vor drei Tagen von ihrem langjährigen Freund verlassen worden ist.</w:t>
      </w:r>
    </w:p>
    <w:p w14:paraId="52157684" w14:textId="1C707D79" w:rsidR="0060754C" w:rsidRPr="00D90148" w:rsidRDefault="0060754C" w:rsidP="00EB1589">
      <w:pPr>
        <w:pStyle w:val="Listenabsatz"/>
        <w:spacing w:after="0" w:line="276" w:lineRule="auto"/>
        <w:ind w:left="426" w:hanging="426"/>
        <w:jc w:val="both"/>
        <w:rPr>
          <w:rFonts w:ascii="Cambria" w:hAnsi="Cambria"/>
          <w:color w:val="000000" w:themeColor="text1"/>
          <w:sz w:val="24"/>
          <w:szCs w:val="24"/>
        </w:rPr>
      </w:pPr>
    </w:p>
    <w:p w14:paraId="724634E3" w14:textId="2B160DEB" w:rsidR="0060754C" w:rsidRPr="00D90148" w:rsidRDefault="0060754C" w:rsidP="00EB1589">
      <w:pPr>
        <w:pStyle w:val="Listenabsatz"/>
        <w:spacing w:after="0" w:line="276" w:lineRule="auto"/>
        <w:ind w:left="426"/>
        <w:jc w:val="both"/>
        <w:rPr>
          <w:rFonts w:ascii="Cambria" w:hAnsi="Cambria"/>
          <w:color w:val="000000" w:themeColor="text1"/>
          <w:sz w:val="24"/>
          <w:szCs w:val="24"/>
        </w:rPr>
      </w:pPr>
      <w:r w:rsidRPr="00D90148">
        <w:rPr>
          <w:rFonts w:ascii="Cambria" w:hAnsi="Cambria"/>
          <w:color w:val="000000" w:themeColor="text1"/>
          <w:sz w:val="24"/>
          <w:szCs w:val="24"/>
        </w:rPr>
        <w:t xml:space="preserve">(a) Überlegt, inwiefern die Information, die A erhält, </w:t>
      </w:r>
      <w:proofErr w:type="gramStart"/>
      <w:r w:rsidRPr="00D90148">
        <w:rPr>
          <w:rFonts w:ascii="Cambria" w:hAnsi="Cambria"/>
          <w:color w:val="000000" w:themeColor="text1"/>
          <w:sz w:val="24"/>
          <w:szCs w:val="24"/>
        </w:rPr>
        <w:t>dagegen sprechen</w:t>
      </w:r>
      <w:proofErr w:type="gramEnd"/>
      <w:r w:rsidRPr="00D90148">
        <w:rPr>
          <w:rFonts w:ascii="Cambria" w:hAnsi="Cambria"/>
          <w:color w:val="000000" w:themeColor="text1"/>
          <w:sz w:val="24"/>
          <w:szCs w:val="24"/>
        </w:rPr>
        <w:t xml:space="preserve"> könnte, dass B eine kompetente Einwilligung gegeben hat. Diskutiert vor diesem Hintergrund, ob A sich in diesem Fall einfach so verhalten darf, als hätte B eine kompetente Einwilligung gegeben.</w:t>
      </w:r>
    </w:p>
    <w:p w14:paraId="3680E6F0" w14:textId="0A28487A" w:rsidR="00595DA7" w:rsidRPr="00D90148" w:rsidRDefault="0060754C" w:rsidP="00EB1589">
      <w:pPr>
        <w:pStyle w:val="Listenabsatz"/>
        <w:spacing w:after="0" w:line="276" w:lineRule="auto"/>
        <w:ind w:left="426"/>
        <w:jc w:val="both"/>
        <w:rPr>
          <w:rFonts w:ascii="Cambria" w:hAnsi="Cambria"/>
          <w:color w:val="000000" w:themeColor="text1"/>
          <w:sz w:val="24"/>
          <w:szCs w:val="24"/>
        </w:rPr>
      </w:pPr>
      <w:r w:rsidRPr="00D90148">
        <w:rPr>
          <w:rFonts w:ascii="Cambria" w:hAnsi="Cambria"/>
          <w:color w:val="000000" w:themeColor="text1"/>
          <w:sz w:val="24"/>
          <w:szCs w:val="24"/>
        </w:rPr>
        <w:lastRenderedPageBreak/>
        <w:t xml:space="preserve">(b) </w:t>
      </w:r>
      <w:r w:rsidR="00595DA7" w:rsidRPr="00D90148">
        <w:rPr>
          <w:rFonts w:ascii="Cambria" w:hAnsi="Cambria"/>
          <w:color w:val="000000" w:themeColor="text1"/>
          <w:sz w:val="24"/>
          <w:szCs w:val="24"/>
        </w:rPr>
        <w:t>Erläutert, welche Möglichkeiten A hat, um sicherzugehen, dass A eine kompetente Einwilligung gegeben hat.</w:t>
      </w:r>
    </w:p>
    <w:p w14:paraId="7324DA84" w14:textId="126A7B76" w:rsidR="00B12310" w:rsidRPr="00D90148" w:rsidRDefault="006A6306" w:rsidP="00EB1589">
      <w:pPr>
        <w:pStyle w:val="Listenabsatz"/>
        <w:numPr>
          <w:ilvl w:val="0"/>
          <w:numId w:val="5"/>
        </w:numPr>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 xml:space="preserve">Wie ihr bereits wisst, gehören neben Kompetenz auch Freiwilligkeit und Informiertheit zu den Bedingungen für gültige Einwilligung. Doch wann darf man eigentlich davon ausgehen, dass jemand tatsächlich kompetent, freiwillig und informiert eingewilligt hat? </w:t>
      </w:r>
      <w:r w:rsidR="00065BA9" w:rsidRPr="00D90148">
        <w:rPr>
          <w:rFonts w:ascii="Cambria" w:hAnsi="Cambria"/>
          <w:color w:val="000000" w:themeColor="text1"/>
          <w:sz w:val="24"/>
          <w:szCs w:val="24"/>
        </w:rPr>
        <w:t>Die</w:t>
      </w:r>
      <w:r w:rsidR="00B12310" w:rsidRPr="00D90148">
        <w:rPr>
          <w:rFonts w:ascii="Cambria" w:hAnsi="Cambria"/>
          <w:color w:val="000000" w:themeColor="text1"/>
          <w:sz w:val="24"/>
          <w:szCs w:val="24"/>
        </w:rPr>
        <w:t xml:space="preserve"> Philosophin Jennifer </w:t>
      </w:r>
      <w:proofErr w:type="spellStart"/>
      <w:r w:rsidR="00B12310" w:rsidRPr="00D90148">
        <w:rPr>
          <w:rFonts w:ascii="Cambria" w:hAnsi="Cambria"/>
          <w:color w:val="000000" w:themeColor="text1"/>
          <w:sz w:val="24"/>
          <w:szCs w:val="24"/>
        </w:rPr>
        <w:t>Lackey</w:t>
      </w:r>
      <w:proofErr w:type="spellEnd"/>
      <w:r w:rsidR="00B12310" w:rsidRPr="00D90148">
        <w:rPr>
          <w:rFonts w:ascii="Cambria" w:hAnsi="Cambria"/>
          <w:color w:val="000000" w:themeColor="text1"/>
          <w:sz w:val="24"/>
          <w:szCs w:val="24"/>
        </w:rPr>
        <w:t xml:space="preserve"> vertritt die These, dass hierfür eine explizite Einwilligungsäußerung nicht ausreicht.</w:t>
      </w:r>
    </w:p>
    <w:p w14:paraId="73573478" w14:textId="376F5AD8" w:rsidR="00B12310" w:rsidRPr="00D90148" w:rsidRDefault="00B12310" w:rsidP="00EB1589">
      <w:pPr>
        <w:pStyle w:val="Listenabsatz"/>
        <w:spacing w:after="0" w:line="276" w:lineRule="auto"/>
        <w:ind w:left="426"/>
        <w:jc w:val="both"/>
        <w:rPr>
          <w:rFonts w:ascii="Cambria" w:hAnsi="Cambria"/>
          <w:color w:val="000000" w:themeColor="text1"/>
          <w:sz w:val="24"/>
          <w:szCs w:val="24"/>
        </w:rPr>
      </w:pPr>
      <w:r w:rsidRPr="00D90148">
        <w:rPr>
          <w:rFonts w:ascii="Cambria" w:hAnsi="Cambria"/>
          <w:color w:val="000000" w:themeColor="text1"/>
          <w:sz w:val="24"/>
          <w:szCs w:val="24"/>
        </w:rPr>
        <w:t xml:space="preserve">(a) Lest den </w:t>
      </w:r>
      <w:r w:rsidR="004D5B46" w:rsidRPr="00D90148">
        <w:rPr>
          <w:rFonts w:ascii="Cambria" w:hAnsi="Cambria"/>
          <w:color w:val="000000" w:themeColor="text1"/>
          <w:sz w:val="24"/>
          <w:szCs w:val="24"/>
        </w:rPr>
        <w:t xml:space="preserve">Text von Jennifer </w:t>
      </w:r>
      <w:proofErr w:type="spellStart"/>
      <w:r w:rsidR="004D5B46" w:rsidRPr="00D90148">
        <w:rPr>
          <w:rFonts w:ascii="Cambria" w:hAnsi="Cambria"/>
          <w:color w:val="000000" w:themeColor="text1"/>
          <w:sz w:val="24"/>
          <w:szCs w:val="24"/>
        </w:rPr>
        <w:t>Lackey</w:t>
      </w:r>
      <w:proofErr w:type="spellEnd"/>
      <w:r w:rsidR="004D5B46" w:rsidRPr="00D90148">
        <w:rPr>
          <w:rFonts w:ascii="Cambria" w:hAnsi="Cambria"/>
          <w:color w:val="000000" w:themeColor="text1"/>
          <w:sz w:val="24"/>
          <w:szCs w:val="24"/>
        </w:rPr>
        <w:t xml:space="preserve"> (siehe unten)</w:t>
      </w:r>
      <w:r w:rsidRPr="00D90148">
        <w:rPr>
          <w:rFonts w:ascii="Cambria" w:hAnsi="Cambria"/>
          <w:color w:val="000000" w:themeColor="text1"/>
          <w:sz w:val="24"/>
          <w:szCs w:val="24"/>
        </w:rPr>
        <w:t xml:space="preserve"> und erläutert, warum laut </w:t>
      </w:r>
      <w:proofErr w:type="spellStart"/>
      <w:r w:rsidRPr="00D90148">
        <w:rPr>
          <w:rFonts w:ascii="Cambria" w:hAnsi="Cambria"/>
          <w:color w:val="000000" w:themeColor="text1"/>
          <w:sz w:val="24"/>
          <w:szCs w:val="24"/>
        </w:rPr>
        <w:t>Lackey</w:t>
      </w:r>
      <w:proofErr w:type="spellEnd"/>
      <w:r w:rsidRPr="00D90148">
        <w:rPr>
          <w:rFonts w:ascii="Cambria" w:hAnsi="Cambria"/>
          <w:color w:val="000000" w:themeColor="text1"/>
          <w:sz w:val="24"/>
          <w:szCs w:val="24"/>
        </w:rPr>
        <w:t xml:space="preserve"> eine explizite Einwilligungsäußerung nicht ausreicht, um vom Vorliegen einer gültigen Einwilligung ausgehen zu können.</w:t>
      </w:r>
    </w:p>
    <w:p w14:paraId="6A8D66E1" w14:textId="0CC2D062" w:rsidR="008E1791" w:rsidRPr="00D90148" w:rsidRDefault="00B12310" w:rsidP="00EB1589">
      <w:pPr>
        <w:pStyle w:val="Listenabsatz"/>
        <w:spacing w:after="0" w:line="276" w:lineRule="auto"/>
        <w:ind w:left="426"/>
        <w:jc w:val="both"/>
        <w:rPr>
          <w:rFonts w:ascii="Cambria" w:hAnsi="Cambria"/>
          <w:color w:val="000000" w:themeColor="text1"/>
          <w:sz w:val="24"/>
          <w:szCs w:val="24"/>
        </w:rPr>
      </w:pPr>
      <w:r w:rsidRPr="00D90148">
        <w:rPr>
          <w:rFonts w:ascii="Cambria" w:hAnsi="Cambria"/>
          <w:color w:val="000000" w:themeColor="text1"/>
          <w:sz w:val="24"/>
          <w:szCs w:val="24"/>
        </w:rPr>
        <w:t>(b)</w:t>
      </w:r>
      <w:r w:rsidR="004D5B46" w:rsidRPr="00D90148">
        <w:rPr>
          <w:rFonts w:ascii="Cambria" w:hAnsi="Cambria"/>
          <w:color w:val="000000" w:themeColor="text1"/>
          <w:sz w:val="24"/>
          <w:szCs w:val="24"/>
        </w:rPr>
        <w:t xml:space="preserve"> </w:t>
      </w:r>
      <w:r w:rsidR="00FD170D" w:rsidRPr="00D90148">
        <w:rPr>
          <w:rFonts w:ascii="Cambria" w:hAnsi="Cambria"/>
          <w:color w:val="000000" w:themeColor="text1"/>
          <w:sz w:val="24"/>
          <w:szCs w:val="24"/>
        </w:rPr>
        <w:t>I</w:t>
      </w:r>
      <w:r w:rsidR="00153BA7" w:rsidRPr="00D90148">
        <w:rPr>
          <w:rFonts w:ascii="Cambria" w:hAnsi="Cambria"/>
          <w:color w:val="000000" w:themeColor="text1"/>
          <w:sz w:val="24"/>
          <w:szCs w:val="24"/>
        </w:rPr>
        <w:t xml:space="preserve">n den USA </w:t>
      </w:r>
      <w:r w:rsidR="00FD170D" w:rsidRPr="00D90148">
        <w:rPr>
          <w:rFonts w:ascii="Cambria" w:hAnsi="Cambria"/>
          <w:color w:val="000000" w:themeColor="text1"/>
          <w:sz w:val="24"/>
          <w:szCs w:val="24"/>
        </w:rPr>
        <w:t xml:space="preserve">haben </w:t>
      </w:r>
      <w:r w:rsidR="00153BA7" w:rsidRPr="00D90148">
        <w:rPr>
          <w:rFonts w:ascii="Cambria" w:hAnsi="Cambria"/>
          <w:color w:val="000000" w:themeColor="text1"/>
          <w:sz w:val="24"/>
          <w:szCs w:val="24"/>
        </w:rPr>
        <w:t xml:space="preserve">viele Universitäten offizielle Regelungen erlassen, </w:t>
      </w:r>
      <w:r w:rsidR="008F2F19" w:rsidRPr="00D90148">
        <w:rPr>
          <w:rFonts w:ascii="Cambria" w:hAnsi="Cambria"/>
          <w:color w:val="000000" w:themeColor="text1"/>
          <w:sz w:val="24"/>
          <w:szCs w:val="24"/>
        </w:rPr>
        <w:t>gemäß derer Student</w:t>
      </w:r>
      <w:r w:rsidR="00F35739" w:rsidRPr="00D90148">
        <w:rPr>
          <w:rFonts w:ascii="Cambria" w:hAnsi="Cambria"/>
          <w:color w:val="000000" w:themeColor="text1"/>
          <w:sz w:val="24"/>
          <w:szCs w:val="24"/>
        </w:rPr>
        <w:t>*</w:t>
      </w:r>
      <w:r w:rsidR="008F2F19" w:rsidRPr="00D90148">
        <w:rPr>
          <w:rFonts w:ascii="Cambria" w:hAnsi="Cambria"/>
          <w:color w:val="000000" w:themeColor="text1"/>
          <w:sz w:val="24"/>
          <w:szCs w:val="24"/>
        </w:rPr>
        <w:t>innen vor sexuellen Begegnungen sicher</w:t>
      </w:r>
      <w:r w:rsidR="004D5B46" w:rsidRPr="00D90148">
        <w:rPr>
          <w:rFonts w:ascii="Cambria" w:hAnsi="Cambria"/>
          <w:color w:val="000000" w:themeColor="text1"/>
          <w:sz w:val="24"/>
          <w:szCs w:val="24"/>
        </w:rPr>
        <w:t>gehen</w:t>
      </w:r>
      <w:r w:rsidR="008F2F19" w:rsidRPr="00D90148">
        <w:rPr>
          <w:rFonts w:ascii="Cambria" w:hAnsi="Cambria"/>
          <w:color w:val="000000" w:themeColor="text1"/>
          <w:sz w:val="24"/>
          <w:szCs w:val="24"/>
        </w:rPr>
        <w:t xml:space="preserve"> müssen, dass gegenseitige und gültige Einwilligung vorliegt. </w:t>
      </w:r>
      <w:r w:rsidR="00FD170D" w:rsidRPr="00D90148">
        <w:rPr>
          <w:rFonts w:ascii="Cambria" w:hAnsi="Cambria"/>
          <w:color w:val="000000" w:themeColor="text1"/>
          <w:sz w:val="24"/>
          <w:szCs w:val="24"/>
        </w:rPr>
        <w:t xml:space="preserve">Lest den Auszug aus den offiziellen Regelungen der University </w:t>
      </w:r>
      <w:proofErr w:type="spellStart"/>
      <w:r w:rsidR="00FD170D" w:rsidRPr="00D90148">
        <w:rPr>
          <w:rFonts w:ascii="Cambria" w:hAnsi="Cambria"/>
          <w:color w:val="000000" w:themeColor="text1"/>
          <w:sz w:val="24"/>
          <w:szCs w:val="24"/>
        </w:rPr>
        <w:t>of</w:t>
      </w:r>
      <w:proofErr w:type="spellEnd"/>
      <w:r w:rsidR="00FD170D" w:rsidRPr="00D90148">
        <w:rPr>
          <w:rFonts w:ascii="Cambria" w:hAnsi="Cambria"/>
          <w:color w:val="000000" w:themeColor="text1"/>
          <w:sz w:val="24"/>
          <w:szCs w:val="24"/>
        </w:rPr>
        <w:t xml:space="preserve"> Minnesota </w:t>
      </w:r>
      <w:r w:rsidR="000A0B9B" w:rsidRPr="00D90148">
        <w:rPr>
          <w:rFonts w:ascii="Cambria" w:hAnsi="Cambria"/>
          <w:color w:val="000000" w:themeColor="text1"/>
          <w:sz w:val="24"/>
          <w:szCs w:val="24"/>
        </w:rPr>
        <w:t xml:space="preserve">(siehe unten) </w:t>
      </w:r>
      <w:r w:rsidR="00FD170D" w:rsidRPr="00D90148">
        <w:rPr>
          <w:rFonts w:ascii="Cambria" w:hAnsi="Cambria"/>
          <w:color w:val="000000" w:themeColor="text1"/>
          <w:sz w:val="24"/>
          <w:szCs w:val="24"/>
        </w:rPr>
        <w:t xml:space="preserve">und überlegt, </w:t>
      </w:r>
      <w:r w:rsidR="00E34E63" w:rsidRPr="00D90148">
        <w:rPr>
          <w:rFonts w:ascii="Cambria" w:hAnsi="Cambria"/>
          <w:color w:val="000000" w:themeColor="text1"/>
          <w:sz w:val="24"/>
          <w:szCs w:val="24"/>
        </w:rPr>
        <w:t xml:space="preserve">inwiefern diese Regelungen den von </w:t>
      </w:r>
      <w:proofErr w:type="spellStart"/>
      <w:r w:rsidR="00E34E63" w:rsidRPr="00D90148">
        <w:rPr>
          <w:rFonts w:ascii="Cambria" w:hAnsi="Cambria"/>
          <w:color w:val="000000" w:themeColor="text1"/>
          <w:sz w:val="24"/>
          <w:szCs w:val="24"/>
        </w:rPr>
        <w:t>Lackey</w:t>
      </w:r>
      <w:proofErr w:type="spellEnd"/>
      <w:r w:rsidR="00E34E63" w:rsidRPr="00D90148">
        <w:rPr>
          <w:rFonts w:ascii="Cambria" w:hAnsi="Cambria"/>
          <w:color w:val="000000" w:themeColor="text1"/>
          <w:sz w:val="24"/>
          <w:szCs w:val="24"/>
        </w:rPr>
        <w:t xml:space="preserve"> formulierten Bedingungen genügen.</w:t>
      </w:r>
    </w:p>
    <w:p w14:paraId="0918E749" w14:textId="3B5D8731" w:rsidR="000A0B9B" w:rsidRPr="00D90148" w:rsidRDefault="008E1791" w:rsidP="00EB1589">
      <w:pPr>
        <w:pStyle w:val="Listenabsatz"/>
        <w:numPr>
          <w:ilvl w:val="0"/>
          <w:numId w:val="5"/>
        </w:numPr>
        <w:spacing w:after="0" w:line="276" w:lineRule="auto"/>
        <w:ind w:left="426" w:hanging="426"/>
        <w:jc w:val="both"/>
        <w:rPr>
          <w:rFonts w:ascii="Cambria" w:hAnsi="Cambria"/>
          <w:color w:val="000000" w:themeColor="text1"/>
          <w:sz w:val="24"/>
          <w:szCs w:val="24"/>
        </w:rPr>
      </w:pPr>
      <w:r w:rsidRPr="00D90148">
        <w:rPr>
          <w:rFonts w:ascii="Cambria" w:hAnsi="Cambria"/>
          <w:color w:val="000000" w:themeColor="text1"/>
          <w:sz w:val="24"/>
          <w:szCs w:val="24"/>
        </w:rPr>
        <w:t xml:space="preserve">Nehmt </w:t>
      </w:r>
      <w:r w:rsidR="00E34E63" w:rsidRPr="00D90148">
        <w:rPr>
          <w:rFonts w:ascii="Cambria" w:hAnsi="Cambria"/>
          <w:color w:val="000000" w:themeColor="text1"/>
          <w:sz w:val="24"/>
          <w:szCs w:val="24"/>
        </w:rPr>
        <w:t xml:space="preserve">kritisch </w:t>
      </w:r>
      <w:r w:rsidRPr="00D90148">
        <w:rPr>
          <w:rFonts w:ascii="Cambria" w:hAnsi="Cambria"/>
          <w:color w:val="000000" w:themeColor="text1"/>
          <w:sz w:val="24"/>
          <w:szCs w:val="24"/>
        </w:rPr>
        <w:t xml:space="preserve">Stellung zu der Frage, </w:t>
      </w:r>
      <w:r w:rsidR="00E34E63" w:rsidRPr="00D90148">
        <w:rPr>
          <w:rFonts w:ascii="Cambria" w:hAnsi="Cambria"/>
          <w:color w:val="000000" w:themeColor="text1"/>
          <w:sz w:val="24"/>
          <w:szCs w:val="24"/>
        </w:rPr>
        <w:t xml:space="preserve">ob neben einer expliziten Einwilligungsäußerung noch andere Bedingungen erfüllt sein müssen, um vom Vorliegen einer gültigen Einwilligung ausgehen zu </w:t>
      </w:r>
      <w:r w:rsidR="004D5B46" w:rsidRPr="00D90148">
        <w:rPr>
          <w:rFonts w:ascii="Cambria" w:hAnsi="Cambria"/>
          <w:color w:val="000000" w:themeColor="text1"/>
          <w:sz w:val="24"/>
          <w:szCs w:val="24"/>
        </w:rPr>
        <w:t>dürfen</w:t>
      </w:r>
      <w:r w:rsidR="00E34E63" w:rsidRPr="00D90148">
        <w:rPr>
          <w:rFonts w:ascii="Cambria" w:hAnsi="Cambria"/>
          <w:color w:val="000000" w:themeColor="text1"/>
          <w:sz w:val="24"/>
          <w:szCs w:val="24"/>
        </w:rPr>
        <w:t xml:space="preserve">. </w:t>
      </w:r>
      <w:proofErr w:type="gramStart"/>
      <w:r w:rsidR="00E34E63" w:rsidRPr="00D90148">
        <w:rPr>
          <w:rFonts w:ascii="Cambria" w:hAnsi="Cambria"/>
          <w:color w:val="000000" w:themeColor="text1"/>
          <w:sz w:val="24"/>
          <w:szCs w:val="24"/>
        </w:rPr>
        <w:t>Berücksichtigt</w:t>
      </w:r>
      <w:proofErr w:type="gramEnd"/>
      <w:r w:rsidR="00E34E63" w:rsidRPr="00D90148">
        <w:rPr>
          <w:rFonts w:ascii="Cambria" w:hAnsi="Cambria"/>
          <w:color w:val="000000" w:themeColor="text1"/>
          <w:sz w:val="24"/>
          <w:szCs w:val="24"/>
        </w:rPr>
        <w:t xml:space="preserve"> dabei auch die Konsequenzen, die eine positive Antwort</w:t>
      </w:r>
      <w:r w:rsidR="004D5B46" w:rsidRPr="00D90148">
        <w:rPr>
          <w:rFonts w:ascii="Cambria" w:hAnsi="Cambria"/>
          <w:color w:val="000000" w:themeColor="text1"/>
          <w:sz w:val="24"/>
          <w:szCs w:val="24"/>
        </w:rPr>
        <w:t xml:space="preserve"> auf diese Frage</w:t>
      </w:r>
      <w:r w:rsidR="00E34E63" w:rsidRPr="00D90148">
        <w:rPr>
          <w:rFonts w:ascii="Cambria" w:hAnsi="Cambria"/>
          <w:color w:val="000000" w:themeColor="text1"/>
          <w:sz w:val="24"/>
          <w:szCs w:val="24"/>
        </w:rPr>
        <w:t xml:space="preserve"> für die Bewertung weit verbreiteter Verhaltensweisen hätte.</w:t>
      </w:r>
    </w:p>
    <w:p w14:paraId="7CEDC6E6" w14:textId="48F462FC" w:rsidR="000A0B9B" w:rsidRPr="00D90148" w:rsidRDefault="000A0B9B" w:rsidP="000A0B9B">
      <w:pPr>
        <w:spacing w:after="0" w:line="276" w:lineRule="auto"/>
        <w:jc w:val="both"/>
        <w:rPr>
          <w:rFonts w:ascii="Cambria" w:hAnsi="Cambria"/>
          <w:color w:val="000000" w:themeColor="text1"/>
          <w:sz w:val="24"/>
          <w:szCs w:val="24"/>
        </w:rPr>
      </w:pPr>
    </w:p>
    <w:p w14:paraId="74BE96C1" w14:textId="0307BC49" w:rsidR="000A0B9B" w:rsidRPr="00D90148" w:rsidRDefault="000A0B9B" w:rsidP="00887880">
      <w:pPr>
        <w:spacing w:after="0" w:line="276" w:lineRule="auto"/>
        <w:jc w:val="both"/>
        <w:rPr>
          <w:rFonts w:ascii="Cambria" w:hAnsi="Cambria"/>
          <w:b/>
          <w:bCs/>
          <w:color w:val="000000" w:themeColor="text1"/>
          <w:sz w:val="24"/>
          <w:szCs w:val="24"/>
        </w:rPr>
      </w:pPr>
      <w:r w:rsidRPr="00D90148">
        <w:rPr>
          <w:rFonts w:ascii="Cambria" w:hAnsi="Cambria"/>
          <w:b/>
          <w:bCs/>
          <w:color w:val="000000" w:themeColor="text1"/>
          <w:sz w:val="24"/>
          <w:szCs w:val="24"/>
        </w:rPr>
        <w:t xml:space="preserve">Jennifer </w:t>
      </w:r>
      <w:proofErr w:type="spellStart"/>
      <w:r w:rsidRPr="00D90148">
        <w:rPr>
          <w:rFonts w:ascii="Cambria" w:hAnsi="Cambria"/>
          <w:b/>
          <w:bCs/>
          <w:color w:val="000000" w:themeColor="text1"/>
          <w:sz w:val="24"/>
          <w:szCs w:val="24"/>
        </w:rPr>
        <w:t>Lackey</w:t>
      </w:r>
      <w:proofErr w:type="spellEnd"/>
      <w:r w:rsidRPr="00D90148">
        <w:rPr>
          <w:rFonts w:ascii="Cambria" w:hAnsi="Cambria"/>
          <w:b/>
          <w:bCs/>
          <w:color w:val="000000" w:themeColor="text1"/>
          <w:sz w:val="24"/>
          <w:szCs w:val="24"/>
        </w:rPr>
        <w:t xml:space="preserve"> (2021): </w:t>
      </w:r>
      <w:r w:rsidR="00B36007" w:rsidRPr="00D90148">
        <w:rPr>
          <w:rFonts w:ascii="Cambria" w:hAnsi="Cambria"/>
          <w:b/>
          <w:bCs/>
          <w:color w:val="000000" w:themeColor="text1"/>
          <w:sz w:val="24"/>
          <w:szCs w:val="24"/>
        </w:rPr>
        <w:t>Sexuelle Einwilligung und vollständige Evidenz</w:t>
      </w:r>
    </w:p>
    <w:p w14:paraId="6C0D1A86" w14:textId="77777777" w:rsidR="00537458" w:rsidRDefault="00537458" w:rsidP="00887880">
      <w:pPr>
        <w:spacing w:after="0" w:line="276" w:lineRule="auto"/>
        <w:jc w:val="both"/>
        <w:rPr>
          <w:rFonts w:ascii="Cambria" w:hAnsi="Cambria"/>
          <w:color w:val="000000" w:themeColor="text1"/>
          <w:sz w:val="24"/>
          <w:szCs w:val="24"/>
        </w:rPr>
      </w:pPr>
    </w:p>
    <w:p w14:paraId="0E1A4DDA" w14:textId="61B807B8" w:rsidR="00537458" w:rsidRDefault="00537458" w:rsidP="00887880">
      <w:pPr>
        <w:spacing w:after="0" w:line="276" w:lineRule="auto"/>
        <w:jc w:val="both"/>
        <w:rPr>
          <w:rFonts w:ascii="Cambria" w:hAnsi="Cambria"/>
          <w:color w:val="000000" w:themeColor="text1"/>
          <w:sz w:val="24"/>
          <w:szCs w:val="24"/>
        </w:rPr>
        <w:sectPr w:rsidR="00537458" w:rsidSect="00BB6DB4">
          <w:type w:val="continuous"/>
          <w:pgSz w:w="11906" w:h="16838"/>
          <w:pgMar w:top="1417" w:right="1417" w:bottom="1134" w:left="1417" w:header="708" w:footer="708" w:gutter="0"/>
          <w:cols w:space="708"/>
          <w:docGrid w:linePitch="360"/>
        </w:sectPr>
      </w:pPr>
    </w:p>
    <w:p w14:paraId="526F1DFB" w14:textId="512AA9C5" w:rsidR="000A0B9B" w:rsidRPr="00D90148" w:rsidRDefault="000A0B9B" w:rsidP="00887880">
      <w:pPr>
        <w:spacing w:after="0" w:line="276" w:lineRule="auto"/>
        <w:jc w:val="both"/>
        <w:rPr>
          <w:rFonts w:ascii="Cambria" w:hAnsi="Cambria"/>
          <w:color w:val="000000" w:themeColor="text1"/>
          <w:sz w:val="24"/>
          <w:szCs w:val="24"/>
        </w:rPr>
      </w:pPr>
      <w:r w:rsidRPr="00D90148">
        <w:rPr>
          <w:rFonts w:ascii="Cambria" w:hAnsi="Cambria"/>
          <w:color w:val="000000" w:themeColor="text1"/>
          <w:sz w:val="24"/>
          <w:szCs w:val="24"/>
        </w:rPr>
        <w:t xml:space="preserve">Ich werde dafür argumentieren, dass man, um verantwortungsvollerweise davon ausgehen zu können, dass eine andere Person ihre Einwilligung gegeben hat, nicht nur entsprechende verbale oder nonverbale Äußerungen dieser Person berücksichtigen muss, sondern darüber hinaus auch </w:t>
      </w:r>
      <w:r w:rsidRPr="00D90148">
        <w:rPr>
          <w:rFonts w:ascii="Cambria" w:hAnsi="Cambria"/>
          <w:i/>
          <w:iCs/>
          <w:color w:val="000000" w:themeColor="text1"/>
          <w:sz w:val="24"/>
          <w:szCs w:val="24"/>
        </w:rPr>
        <w:t>relevante Hintergrundinformationen</w:t>
      </w:r>
      <w:r w:rsidRPr="00D90148">
        <w:rPr>
          <w:rFonts w:ascii="Cambria" w:hAnsi="Cambria"/>
          <w:color w:val="000000" w:themeColor="text1"/>
          <w:sz w:val="24"/>
          <w:szCs w:val="24"/>
        </w:rPr>
        <w:t xml:space="preserve">. […] Unter normalen Umständen haben wir eine ganze Menge solcher Hintergrundinformationen, und zwar sowohl </w:t>
      </w:r>
      <w:r w:rsidRPr="00D90148">
        <w:rPr>
          <w:rFonts w:ascii="Cambria" w:hAnsi="Cambria"/>
          <w:i/>
          <w:iCs/>
          <w:color w:val="000000" w:themeColor="text1"/>
          <w:sz w:val="24"/>
          <w:szCs w:val="24"/>
        </w:rPr>
        <w:t>allgemeine</w:t>
      </w:r>
      <w:r w:rsidRPr="00D90148">
        <w:rPr>
          <w:rFonts w:ascii="Cambria" w:hAnsi="Cambria"/>
          <w:color w:val="000000" w:themeColor="text1"/>
          <w:sz w:val="24"/>
          <w:szCs w:val="24"/>
        </w:rPr>
        <w:t xml:space="preserve"> als auch </w:t>
      </w:r>
      <w:r w:rsidRPr="00D90148">
        <w:rPr>
          <w:rFonts w:ascii="Cambria" w:hAnsi="Cambria"/>
          <w:i/>
          <w:iCs/>
          <w:color w:val="000000" w:themeColor="text1"/>
          <w:sz w:val="24"/>
          <w:szCs w:val="24"/>
        </w:rPr>
        <w:t>situationsspezifische</w:t>
      </w:r>
      <w:r w:rsidRPr="00D90148">
        <w:rPr>
          <w:rFonts w:ascii="Cambria" w:hAnsi="Cambria"/>
          <w:color w:val="000000" w:themeColor="text1"/>
          <w:sz w:val="24"/>
          <w:szCs w:val="24"/>
        </w:rPr>
        <w:t>. Beispielsweise haben wir grundsätzliche Überzeugungen über typische menschliche Wünsche und Präferenzen, über die Wirkungsweise von Alkohol, welche Verhaltensweisen normalerweise als verletzend angesehen werden usw. Wir wissen, dass die meisten Menschen nicht gedemütigt oder missbraucht werden möchten und keinen Sex in der Öffentlichkeit oder mit mehreren Personen gleichzeitig haben wollen. […]</w:t>
      </w:r>
    </w:p>
    <w:p w14:paraId="0BDE04AC" w14:textId="77777777" w:rsidR="000A0B9B" w:rsidRPr="00D90148" w:rsidRDefault="000A0B9B" w:rsidP="00887880">
      <w:pPr>
        <w:spacing w:after="0" w:line="276" w:lineRule="auto"/>
        <w:ind w:firstLine="284"/>
        <w:jc w:val="both"/>
        <w:rPr>
          <w:rFonts w:ascii="Cambria" w:hAnsi="Cambria"/>
          <w:color w:val="000000" w:themeColor="text1"/>
          <w:sz w:val="24"/>
          <w:szCs w:val="24"/>
        </w:rPr>
      </w:pPr>
      <w:r w:rsidRPr="00D90148">
        <w:rPr>
          <w:rFonts w:ascii="Cambria" w:hAnsi="Cambria"/>
          <w:color w:val="000000" w:themeColor="text1"/>
          <w:sz w:val="24"/>
          <w:szCs w:val="24"/>
        </w:rPr>
        <w:t xml:space="preserve">Zusätzlich zu diesen allgemeinen Informationen haben wir oft auch situationsspezifische Informationen, die gegen das Vorliegen echter Einwilligung sprechen. Nehmen wir etwa folgenden Fall: A weiß, dass B der festen Überzeugung ist, dass sie keinen Sex vor der Ehe haben sollte. Es ist ein wichtiger Grundsatz von </w:t>
      </w:r>
      <w:proofErr w:type="spellStart"/>
      <w:r w:rsidRPr="00D90148">
        <w:rPr>
          <w:rFonts w:ascii="Cambria" w:hAnsi="Cambria"/>
          <w:color w:val="000000" w:themeColor="text1"/>
          <w:sz w:val="24"/>
          <w:szCs w:val="24"/>
        </w:rPr>
        <w:t>B’s</w:t>
      </w:r>
      <w:proofErr w:type="spellEnd"/>
      <w:r w:rsidRPr="00D90148">
        <w:rPr>
          <w:rFonts w:ascii="Cambria" w:hAnsi="Cambria"/>
          <w:color w:val="000000" w:themeColor="text1"/>
          <w:sz w:val="24"/>
          <w:szCs w:val="24"/>
        </w:rPr>
        <w:t xml:space="preserve"> Religion, dass Sex nur innerhalb der Ehe stattfinden sollte und B hat diesen Grundsatz seit ihrer Kindheit verinnerlicht. B spricht oft darüber, dass ihre Religiosität ein wichtiger Teil ihrer Identität ist und A hat noch nie mitbekommen, dass B an ihrer Religiosität gezweifelt hätte. Nehmen wir nun an, A und B gehen eines Abends gemeinsam aus und B sagt explizit, dass sie in Sex </w:t>
      </w:r>
      <w:r w:rsidRPr="00D90148">
        <w:rPr>
          <w:rFonts w:ascii="Cambria" w:hAnsi="Cambria"/>
          <w:color w:val="000000" w:themeColor="text1"/>
          <w:sz w:val="24"/>
          <w:szCs w:val="24"/>
        </w:rPr>
        <w:lastRenderedPageBreak/>
        <w:t>mit A einwilligt. Wäre es in diesem Fall verantwortungsvoll, wenn A B beim Wort nehmen würde?</w:t>
      </w:r>
    </w:p>
    <w:p w14:paraId="5F65EFD5" w14:textId="0E184496" w:rsidR="000A0B9B" w:rsidRPr="00D90148" w:rsidRDefault="000A0B9B" w:rsidP="00887880">
      <w:pPr>
        <w:spacing w:after="0" w:line="276" w:lineRule="auto"/>
        <w:ind w:firstLine="284"/>
        <w:jc w:val="both"/>
        <w:rPr>
          <w:rFonts w:ascii="Cambria" w:hAnsi="Cambria"/>
          <w:color w:val="000000" w:themeColor="text1"/>
          <w:sz w:val="24"/>
          <w:szCs w:val="24"/>
        </w:rPr>
      </w:pPr>
      <w:r w:rsidRPr="00D90148">
        <w:rPr>
          <w:rFonts w:ascii="Cambria" w:hAnsi="Cambria"/>
          <w:color w:val="000000" w:themeColor="text1"/>
          <w:sz w:val="24"/>
          <w:szCs w:val="24"/>
        </w:rPr>
        <w:t xml:space="preserve">Meine Antwort ist ein klares Nein. In diesem Fall hat A eine Menge an Informationen, die dagegen sprechen, dass B jemals in außerehelichen Sex einwilligen würde, und </w:t>
      </w:r>
      <w:proofErr w:type="spellStart"/>
      <w:r w:rsidR="005C4E19" w:rsidRPr="00D90148">
        <w:rPr>
          <w:rFonts w:ascii="Cambria" w:hAnsi="Cambria"/>
          <w:color w:val="000000" w:themeColor="text1"/>
          <w:sz w:val="24"/>
          <w:szCs w:val="24"/>
        </w:rPr>
        <w:t>B‘s</w:t>
      </w:r>
      <w:proofErr w:type="spellEnd"/>
      <w:r w:rsidRPr="00D90148">
        <w:rPr>
          <w:rFonts w:ascii="Cambria" w:hAnsi="Cambria"/>
          <w:color w:val="000000" w:themeColor="text1"/>
          <w:sz w:val="24"/>
          <w:szCs w:val="24"/>
        </w:rPr>
        <w:t xml:space="preserve"> Aussage ist das einzige, was für eine Einwilligung spricht. Alles in allem sollte A also nicht davon ausgehen, dass B wirklich eingewilligt hat. Diese Situation könnte natürlich durch neue Informationen geändert werden – etwa, wenn B A ausführlich erklärt, dass sie ihre religiösen Überzeugungen schon seit längerer Zeit kritisch hinterfragt und nun eine distanziertere Haltung zu ihrer Religion eingenommen hat. Solange dies aber nicht der Fall ist, sollte A trotz </w:t>
      </w:r>
      <w:proofErr w:type="spellStart"/>
      <w:r w:rsidRPr="00D90148">
        <w:rPr>
          <w:rFonts w:ascii="Cambria" w:hAnsi="Cambria"/>
          <w:color w:val="000000" w:themeColor="text1"/>
          <w:sz w:val="24"/>
          <w:szCs w:val="24"/>
        </w:rPr>
        <w:t>B’s</w:t>
      </w:r>
      <w:proofErr w:type="spellEnd"/>
      <w:r w:rsidRPr="00D90148">
        <w:rPr>
          <w:rFonts w:ascii="Cambria" w:hAnsi="Cambria"/>
          <w:color w:val="000000" w:themeColor="text1"/>
          <w:sz w:val="24"/>
          <w:szCs w:val="24"/>
        </w:rPr>
        <w:t xml:space="preserve"> expliziter Aussage nicht einfach davon ausgehen, dass B eingewilligt hat.</w:t>
      </w:r>
    </w:p>
    <w:p w14:paraId="6DA177FC" w14:textId="77777777" w:rsidR="00537458" w:rsidRDefault="00537458" w:rsidP="00887880">
      <w:pPr>
        <w:spacing w:after="0" w:line="276" w:lineRule="auto"/>
        <w:ind w:firstLine="284"/>
        <w:jc w:val="both"/>
        <w:rPr>
          <w:rFonts w:ascii="Cambria" w:hAnsi="Cambria"/>
          <w:color w:val="000000" w:themeColor="text1"/>
          <w:sz w:val="24"/>
          <w:szCs w:val="24"/>
        </w:rPr>
        <w:sectPr w:rsidR="00537458" w:rsidSect="00537458">
          <w:type w:val="continuous"/>
          <w:pgSz w:w="11906" w:h="16838"/>
          <w:pgMar w:top="1418" w:right="1418" w:bottom="1134" w:left="1418" w:header="709" w:footer="709" w:gutter="0"/>
          <w:lnNumType w:countBy="3" w:restart="newSection"/>
          <w:cols w:space="708"/>
          <w:docGrid w:linePitch="360"/>
        </w:sectPr>
      </w:pPr>
    </w:p>
    <w:p w14:paraId="540BE38A" w14:textId="4C081885" w:rsidR="00887880" w:rsidRPr="00D90148" w:rsidRDefault="00887880" w:rsidP="00887880">
      <w:pPr>
        <w:spacing w:after="0" w:line="276" w:lineRule="auto"/>
        <w:ind w:firstLine="284"/>
        <w:jc w:val="both"/>
        <w:rPr>
          <w:rFonts w:ascii="Cambria" w:hAnsi="Cambria"/>
          <w:color w:val="000000" w:themeColor="text1"/>
          <w:sz w:val="24"/>
          <w:szCs w:val="24"/>
        </w:rPr>
      </w:pPr>
    </w:p>
    <w:p w14:paraId="4DF9D0E8" w14:textId="5B9E2F14" w:rsidR="00B36007" w:rsidRPr="00D90148" w:rsidRDefault="00B36007" w:rsidP="006A6306">
      <w:pPr>
        <w:jc w:val="both"/>
        <w:rPr>
          <w:rFonts w:ascii="Cambria" w:hAnsi="Cambria"/>
          <w:color w:val="000000" w:themeColor="text1"/>
          <w:sz w:val="20"/>
          <w:szCs w:val="20"/>
        </w:rPr>
      </w:pPr>
      <w:r w:rsidRPr="00D90148">
        <w:rPr>
          <w:rFonts w:ascii="Cambria" w:hAnsi="Cambria"/>
          <w:b/>
          <w:bCs/>
          <w:color w:val="000000" w:themeColor="text1"/>
          <w:sz w:val="20"/>
          <w:szCs w:val="20"/>
          <w:lang w:val="en-US"/>
        </w:rPr>
        <w:t>Quelle:</w:t>
      </w:r>
      <w:r w:rsidRPr="00D90148">
        <w:rPr>
          <w:rFonts w:ascii="Cambria" w:hAnsi="Cambria"/>
          <w:color w:val="000000" w:themeColor="text1"/>
          <w:sz w:val="20"/>
          <w:szCs w:val="20"/>
          <w:lang w:val="en-US"/>
        </w:rPr>
        <w:t xml:space="preserve"> </w:t>
      </w:r>
      <w:proofErr w:type="spellStart"/>
      <w:r w:rsidR="00537458">
        <w:rPr>
          <w:rFonts w:ascii="Cambria" w:hAnsi="Cambria"/>
          <w:color w:val="000000" w:themeColor="text1"/>
          <w:sz w:val="20"/>
          <w:szCs w:val="20"/>
          <w:lang w:val="en-US"/>
        </w:rPr>
        <w:t>Nach</w:t>
      </w:r>
      <w:proofErr w:type="spellEnd"/>
      <w:r w:rsidRPr="00D90148">
        <w:rPr>
          <w:rFonts w:ascii="Cambria" w:hAnsi="Cambria"/>
          <w:color w:val="000000" w:themeColor="text1"/>
          <w:sz w:val="20"/>
          <w:szCs w:val="20"/>
          <w:lang w:val="en-US"/>
        </w:rPr>
        <w:t xml:space="preserve"> Lackey, Jennifer (2021): </w:t>
      </w:r>
      <w:r w:rsidR="006A6306" w:rsidRPr="00D90148">
        <w:rPr>
          <w:rFonts w:ascii="Cambria" w:hAnsi="Cambria"/>
          <w:color w:val="000000" w:themeColor="text1"/>
          <w:sz w:val="20"/>
          <w:szCs w:val="20"/>
          <w:lang w:val="en-US"/>
        </w:rPr>
        <w:t>The Total Evidence View of the Epistemology of Sexual Consent</w:t>
      </w:r>
      <w:r w:rsidRPr="00D90148">
        <w:rPr>
          <w:rFonts w:ascii="Cambria" w:hAnsi="Cambria"/>
          <w:color w:val="000000" w:themeColor="text1"/>
          <w:sz w:val="20"/>
          <w:szCs w:val="20"/>
          <w:lang w:val="en-US"/>
        </w:rPr>
        <w:t>.</w:t>
      </w:r>
      <w:r w:rsidR="00960BBC" w:rsidRPr="00D90148">
        <w:rPr>
          <w:rFonts w:ascii="Cambria" w:hAnsi="Cambria"/>
          <w:color w:val="000000" w:themeColor="text1"/>
          <w:sz w:val="20"/>
          <w:szCs w:val="20"/>
          <w:lang w:val="en-US"/>
        </w:rPr>
        <w:t xml:space="preserve"> </w:t>
      </w:r>
      <w:r w:rsidRPr="00D90148">
        <w:rPr>
          <w:rFonts w:ascii="Cambria" w:hAnsi="Cambria"/>
          <w:color w:val="000000" w:themeColor="text1"/>
          <w:sz w:val="20"/>
          <w:szCs w:val="20"/>
        </w:rPr>
        <w:t xml:space="preserve">In: </w:t>
      </w:r>
      <w:r w:rsidR="000521F8" w:rsidRPr="00D90148">
        <w:rPr>
          <w:rFonts w:ascii="Cambria" w:hAnsi="Cambria"/>
          <w:color w:val="000000" w:themeColor="text1"/>
          <w:sz w:val="20"/>
          <w:szCs w:val="20"/>
        </w:rPr>
        <w:t>Dies.</w:t>
      </w:r>
      <w:r w:rsidRPr="00D90148">
        <w:rPr>
          <w:rFonts w:ascii="Cambria" w:hAnsi="Cambria"/>
          <w:color w:val="000000" w:themeColor="text1"/>
          <w:sz w:val="20"/>
          <w:szCs w:val="20"/>
        </w:rPr>
        <w:t xml:space="preserve"> (Hg.): Applied </w:t>
      </w:r>
      <w:proofErr w:type="spellStart"/>
      <w:r w:rsidRPr="00D90148">
        <w:rPr>
          <w:rFonts w:ascii="Cambria" w:hAnsi="Cambria"/>
          <w:color w:val="000000" w:themeColor="text1"/>
          <w:sz w:val="20"/>
          <w:szCs w:val="20"/>
        </w:rPr>
        <w:t>Epistemology</w:t>
      </w:r>
      <w:proofErr w:type="spellEnd"/>
      <w:r w:rsidRPr="00D90148">
        <w:rPr>
          <w:rFonts w:ascii="Cambria" w:hAnsi="Cambria"/>
          <w:color w:val="000000" w:themeColor="text1"/>
          <w:sz w:val="20"/>
          <w:szCs w:val="20"/>
        </w:rPr>
        <w:t>. Oxford: OUP</w:t>
      </w:r>
      <w:r w:rsidR="00537458">
        <w:rPr>
          <w:rFonts w:ascii="Cambria" w:hAnsi="Cambria"/>
          <w:color w:val="000000" w:themeColor="text1"/>
          <w:sz w:val="20"/>
          <w:szCs w:val="20"/>
        </w:rPr>
        <w:t xml:space="preserve">, freie Übersetzung von Dominik Balg. </w:t>
      </w:r>
    </w:p>
    <w:p w14:paraId="642F9DB2" w14:textId="77777777" w:rsidR="005C4E19" w:rsidRPr="00D90148" w:rsidRDefault="005C4E19" w:rsidP="000A0B9B">
      <w:pPr>
        <w:spacing w:after="0" w:line="276" w:lineRule="auto"/>
        <w:jc w:val="both"/>
        <w:rPr>
          <w:rFonts w:ascii="Cambria" w:hAnsi="Cambria"/>
          <w:color w:val="000000" w:themeColor="text1"/>
          <w:sz w:val="24"/>
          <w:szCs w:val="24"/>
        </w:rPr>
      </w:pPr>
    </w:p>
    <w:p w14:paraId="676FE7A1" w14:textId="21E73DF9" w:rsidR="008257EE" w:rsidRPr="00ED38AF" w:rsidRDefault="00B913F7" w:rsidP="00ED38AF">
      <w:pPr>
        <w:spacing w:after="0" w:line="276" w:lineRule="auto"/>
        <w:jc w:val="both"/>
        <w:rPr>
          <w:rStyle w:val="Hyperlink"/>
          <w:rFonts w:ascii="Cambria" w:hAnsi="Cambria"/>
          <w:b/>
          <w:bCs/>
          <w:i/>
          <w:iCs/>
          <w:color w:val="000000" w:themeColor="text1"/>
          <w:sz w:val="24"/>
          <w:szCs w:val="24"/>
          <w:u w:val="none"/>
        </w:rPr>
      </w:pPr>
      <w:r w:rsidRPr="00ED38AF">
        <w:rPr>
          <w:rFonts w:ascii="Cambria" w:hAnsi="Cambria"/>
          <w:b/>
          <w:bCs/>
          <w:color w:val="000000" w:themeColor="text1"/>
          <w:sz w:val="24"/>
          <w:szCs w:val="24"/>
        </w:rPr>
        <w:t xml:space="preserve">Offizielle Regelung der University </w:t>
      </w:r>
      <w:proofErr w:type="spellStart"/>
      <w:r w:rsidRPr="00ED38AF">
        <w:rPr>
          <w:rFonts w:ascii="Cambria" w:hAnsi="Cambria"/>
          <w:b/>
          <w:bCs/>
          <w:color w:val="000000" w:themeColor="text1"/>
          <w:sz w:val="24"/>
          <w:szCs w:val="24"/>
        </w:rPr>
        <w:t>of</w:t>
      </w:r>
      <w:proofErr w:type="spellEnd"/>
      <w:r w:rsidRPr="00ED38AF">
        <w:rPr>
          <w:rFonts w:ascii="Cambria" w:hAnsi="Cambria"/>
          <w:b/>
          <w:bCs/>
          <w:color w:val="000000" w:themeColor="text1"/>
          <w:sz w:val="24"/>
          <w:szCs w:val="24"/>
        </w:rPr>
        <w:t xml:space="preserve"> Minnesota zu sexueller Einwilligung</w:t>
      </w:r>
    </w:p>
    <w:p w14:paraId="266F869F" w14:textId="2E20D60C" w:rsidR="008257EE" w:rsidRPr="00D90148" w:rsidRDefault="00F669B7" w:rsidP="000A0B9B">
      <w:pPr>
        <w:spacing w:after="0" w:line="276" w:lineRule="auto"/>
        <w:jc w:val="both"/>
        <w:rPr>
          <w:rStyle w:val="Hyperlink"/>
          <w:rFonts w:ascii="Cambria" w:hAnsi="Cambria"/>
          <w:color w:val="000000" w:themeColor="text1"/>
        </w:rPr>
      </w:pPr>
      <w:r>
        <w:rPr>
          <w:rFonts w:ascii="Cambria" w:hAnsi="Cambria"/>
          <w:i/>
          <w:iCs/>
          <w:noProof/>
          <w:sz w:val="24"/>
          <w:szCs w:val="24"/>
        </w:rPr>
        <w:pict w14:anchorId="00AF5EB2">
          <v:rect id="_x0000_s1026" alt="" style="position:absolute;left:0;text-align:left;margin-left:-5.6pt;margin-top:10.5pt;width:465.2pt;height:87.3pt;z-index:251659264;mso-wrap-edited:f;mso-width-percent:0;mso-height-percent:0;mso-width-percent:0;mso-height-percent:0" filled="f" fillcolor="black [3213]" strokecolor="black [3213]" strokeweight="1.5pt"/>
        </w:pict>
      </w:r>
    </w:p>
    <w:p w14:paraId="668ED585" w14:textId="62FE6303" w:rsidR="008257EE" w:rsidRPr="00D90148" w:rsidRDefault="006A6306" w:rsidP="000A0B9B">
      <w:pPr>
        <w:spacing w:after="0" w:line="276" w:lineRule="auto"/>
        <w:jc w:val="both"/>
        <w:rPr>
          <w:rFonts w:ascii="Cambria" w:hAnsi="Cambria"/>
          <w:i/>
          <w:iCs/>
          <w:color w:val="000000" w:themeColor="text1"/>
          <w:sz w:val="24"/>
          <w:szCs w:val="24"/>
        </w:rPr>
      </w:pPr>
      <w:r w:rsidRPr="00D90148">
        <w:rPr>
          <w:rFonts w:ascii="Cambria" w:hAnsi="Cambria"/>
          <w:i/>
          <w:iCs/>
          <w:color w:val="000000" w:themeColor="text1"/>
          <w:sz w:val="24"/>
          <w:szCs w:val="24"/>
        </w:rPr>
        <w:t>„</w:t>
      </w:r>
      <w:r w:rsidR="008257EE" w:rsidRPr="00D90148">
        <w:rPr>
          <w:rFonts w:ascii="Cambria" w:hAnsi="Cambria"/>
          <w:i/>
          <w:iCs/>
          <w:color w:val="000000" w:themeColor="text1"/>
          <w:sz w:val="24"/>
          <w:szCs w:val="24"/>
        </w:rPr>
        <w:t xml:space="preserve">Jede Androhung oder Durchführung sexueller Handlungen ohne gültige Einwilligung gilt als sexuelle Nötigung. </w:t>
      </w:r>
      <w:r w:rsidR="00E13ECD" w:rsidRPr="00D90148">
        <w:rPr>
          <w:rFonts w:ascii="Cambria" w:hAnsi="Cambria"/>
          <w:i/>
          <w:iCs/>
          <w:color w:val="000000" w:themeColor="text1"/>
          <w:sz w:val="24"/>
          <w:szCs w:val="24"/>
        </w:rPr>
        <w:t xml:space="preserve">[…] </w:t>
      </w:r>
      <w:r w:rsidR="008257EE" w:rsidRPr="00D90148">
        <w:rPr>
          <w:rFonts w:ascii="Cambria" w:hAnsi="Cambria"/>
          <w:i/>
          <w:iCs/>
          <w:color w:val="000000" w:themeColor="text1"/>
          <w:sz w:val="24"/>
          <w:szCs w:val="24"/>
        </w:rPr>
        <w:t>Gültige Einwilligung bedeutet, dass freiwillig und positiv kommunizierte Äußerungen oder Handlungen von einer informierten Person vorliegen, von denen eine nüchterne und vernünftige Person glauben würde, dass sie einen Wunsch ausdrücken, an sexuellem Kontakt teilzunehmen.“</w:t>
      </w:r>
    </w:p>
    <w:p w14:paraId="5153AD1E" w14:textId="12254645" w:rsidR="00F567EE" w:rsidRPr="00D90148" w:rsidRDefault="00F567EE" w:rsidP="000A0B9B">
      <w:pPr>
        <w:spacing w:after="0" w:line="276" w:lineRule="auto"/>
        <w:jc w:val="both"/>
        <w:rPr>
          <w:color w:val="000000" w:themeColor="text1"/>
        </w:rPr>
      </w:pPr>
    </w:p>
    <w:p w14:paraId="3B058DE6" w14:textId="0E646EB1" w:rsidR="00F567EE" w:rsidRPr="00D90148" w:rsidRDefault="00F567EE" w:rsidP="000A0B9B">
      <w:pPr>
        <w:spacing w:after="0" w:line="276" w:lineRule="auto"/>
        <w:jc w:val="both"/>
        <w:rPr>
          <w:rFonts w:ascii="Cambria" w:hAnsi="Cambria"/>
          <w:color w:val="000000" w:themeColor="text1"/>
          <w:sz w:val="20"/>
          <w:szCs w:val="20"/>
        </w:rPr>
      </w:pPr>
      <w:r w:rsidRPr="00D90148">
        <w:rPr>
          <w:rFonts w:ascii="Cambria" w:hAnsi="Cambria"/>
          <w:b/>
          <w:bCs/>
          <w:color w:val="000000" w:themeColor="text1"/>
          <w:sz w:val="20"/>
          <w:szCs w:val="20"/>
        </w:rPr>
        <w:t>Quelle:</w:t>
      </w:r>
      <w:r w:rsidRPr="00D90148">
        <w:rPr>
          <w:rFonts w:ascii="Cambria" w:hAnsi="Cambria"/>
          <w:color w:val="000000" w:themeColor="text1"/>
          <w:sz w:val="20"/>
          <w:szCs w:val="20"/>
        </w:rPr>
        <w:t xml:space="preserve"> </w:t>
      </w:r>
      <w:hyperlink r:id="rId11" w:history="1">
        <w:r w:rsidRPr="00D90148">
          <w:rPr>
            <w:rStyle w:val="Hyperlink"/>
            <w:rFonts w:ascii="Cambria" w:hAnsi="Cambria"/>
            <w:color w:val="000000" w:themeColor="text1"/>
            <w:sz w:val="20"/>
            <w:szCs w:val="20"/>
          </w:rPr>
          <w:t>https://policy.umn.edu/hr/sexharassassault</w:t>
        </w:r>
      </w:hyperlink>
      <w:r w:rsidR="00885CD4">
        <w:rPr>
          <w:rStyle w:val="Hyperlink"/>
          <w:rFonts w:ascii="Cambria" w:hAnsi="Cambria"/>
          <w:color w:val="000000" w:themeColor="text1"/>
          <w:sz w:val="20"/>
          <w:szCs w:val="20"/>
          <w:u w:val="none"/>
        </w:rPr>
        <w:t xml:space="preserve">, </w:t>
      </w:r>
      <w:r w:rsidR="000521F8" w:rsidRPr="00D90148">
        <w:rPr>
          <w:rStyle w:val="Hyperlink"/>
          <w:rFonts w:ascii="Cambria" w:hAnsi="Cambria"/>
          <w:color w:val="000000" w:themeColor="text1"/>
          <w:sz w:val="20"/>
          <w:szCs w:val="20"/>
          <w:u w:val="none"/>
        </w:rPr>
        <w:t xml:space="preserve">letzter Zugriff: </w:t>
      </w:r>
      <w:r w:rsidR="00885CD4">
        <w:rPr>
          <w:rStyle w:val="Hyperlink"/>
          <w:rFonts w:ascii="Cambria" w:hAnsi="Cambria"/>
          <w:color w:val="000000" w:themeColor="text1"/>
          <w:sz w:val="20"/>
          <w:szCs w:val="20"/>
          <w:u w:val="none"/>
        </w:rPr>
        <w:t>01.11</w:t>
      </w:r>
      <w:r w:rsidR="00E13ECD" w:rsidRPr="00D90148">
        <w:rPr>
          <w:rStyle w:val="Hyperlink"/>
          <w:rFonts w:ascii="Cambria" w:hAnsi="Cambria"/>
          <w:color w:val="000000" w:themeColor="text1"/>
          <w:sz w:val="20"/>
          <w:szCs w:val="20"/>
          <w:u w:val="none"/>
        </w:rPr>
        <w:t>.2020</w:t>
      </w:r>
      <w:r w:rsidR="00885CD4">
        <w:rPr>
          <w:rStyle w:val="Hyperlink"/>
          <w:rFonts w:ascii="Cambria" w:hAnsi="Cambria"/>
          <w:color w:val="000000" w:themeColor="text1"/>
          <w:sz w:val="20"/>
          <w:szCs w:val="20"/>
          <w:u w:val="none"/>
        </w:rPr>
        <w:t xml:space="preserve">. </w:t>
      </w:r>
    </w:p>
    <w:p w14:paraId="47DD45EC" w14:textId="26E33297" w:rsidR="00F567EE" w:rsidRPr="00D90148" w:rsidRDefault="00F567EE" w:rsidP="000A0B9B">
      <w:pPr>
        <w:spacing w:after="0" w:line="276" w:lineRule="auto"/>
        <w:jc w:val="both"/>
        <w:rPr>
          <w:rFonts w:ascii="Cambria" w:hAnsi="Cambria"/>
          <w:color w:val="000000" w:themeColor="text1"/>
          <w:sz w:val="24"/>
          <w:szCs w:val="24"/>
        </w:rPr>
      </w:pPr>
    </w:p>
    <w:sectPr w:rsidR="00F567EE" w:rsidRPr="00D90148" w:rsidSect="00BB6DB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95D4" w14:textId="77777777" w:rsidR="00F669B7" w:rsidRDefault="00F669B7">
      <w:pPr>
        <w:spacing w:after="0" w:line="240" w:lineRule="auto"/>
      </w:pPr>
      <w:r>
        <w:separator/>
      </w:r>
    </w:p>
  </w:endnote>
  <w:endnote w:type="continuationSeparator" w:id="0">
    <w:p w14:paraId="14ADFCDE" w14:textId="77777777" w:rsidR="00F669B7" w:rsidRDefault="00F6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411587"/>
      <w:docPartObj>
        <w:docPartGallery w:val="Page Numbers (Bottom of Page)"/>
        <w:docPartUnique/>
      </w:docPartObj>
    </w:sdtPr>
    <w:sdtEndPr/>
    <w:sdtContent>
      <w:p w14:paraId="66A01207" w14:textId="77777777" w:rsidR="00F73B21" w:rsidRDefault="002D6234">
        <w:pPr>
          <w:pStyle w:val="Fuzeile"/>
          <w:jc w:val="center"/>
        </w:pPr>
        <w:r>
          <w:fldChar w:fldCharType="begin"/>
        </w:r>
        <w:r>
          <w:instrText>PAGE   \* MERGEFORMAT</w:instrText>
        </w:r>
        <w:r>
          <w:fldChar w:fldCharType="separate"/>
        </w:r>
        <w:r w:rsidR="00F776BF">
          <w:rPr>
            <w:rFonts w:ascii="Cambria" w:hAnsi="Cambria"/>
            <w:noProof/>
          </w:rPr>
          <w:t>1</w:t>
        </w:r>
        <w:r>
          <w:rPr>
            <w:rFonts w:ascii="Cambria" w:hAnsi="Cambria"/>
            <w:noProof/>
          </w:rPr>
          <w:fldChar w:fldCharType="end"/>
        </w:r>
      </w:p>
    </w:sdtContent>
  </w:sdt>
  <w:p w14:paraId="25E08AD5" w14:textId="77777777" w:rsidR="00F73B21" w:rsidRDefault="00F73B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2DF7" w14:textId="77777777" w:rsidR="00F669B7" w:rsidRDefault="00F669B7">
      <w:pPr>
        <w:spacing w:after="0" w:line="240" w:lineRule="auto"/>
      </w:pPr>
      <w:r>
        <w:separator/>
      </w:r>
    </w:p>
  </w:footnote>
  <w:footnote w:type="continuationSeparator" w:id="0">
    <w:p w14:paraId="0FEA1E18" w14:textId="77777777" w:rsidR="00F669B7" w:rsidRDefault="00F669B7">
      <w:pPr>
        <w:spacing w:after="0" w:line="240" w:lineRule="auto"/>
      </w:pPr>
      <w:r>
        <w:continuationSeparator/>
      </w:r>
    </w:p>
  </w:footnote>
  <w:footnote w:id="1">
    <w:p w14:paraId="7B580794" w14:textId="77777777" w:rsidR="00AD05D2" w:rsidRPr="004E51FC" w:rsidRDefault="00AD05D2" w:rsidP="00537458">
      <w:pPr>
        <w:pStyle w:val="Funotentext"/>
        <w:ind w:left="142" w:hanging="142"/>
        <w:rPr>
          <w:rFonts w:ascii="Cambria" w:hAnsi="Cambria"/>
        </w:rPr>
      </w:pPr>
      <w:r w:rsidRPr="004E51FC">
        <w:rPr>
          <w:rStyle w:val="Funotenzeichen"/>
          <w:rFonts w:ascii="Cambria" w:hAnsi="Cambria"/>
        </w:rPr>
        <w:footnoteRef/>
      </w:r>
      <w:r w:rsidRPr="004E51FC">
        <w:rPr>
          <w:rFonts w:ascii="Cambria" w:hAnsi="Cambria"/>
        </w:rPr>
        <w:t xml:space="preserve"> </w:t>
      </w:r>
      <w:r w:rsidRPr="004E51FC">
        <w:rPr>
          <w:rFonts w:ascii="Cambria" w:hAnsi="Cambria"/>
          <w:b/>
          <w:bCs/>
        </w:rPr>
        <w:t>Plebejer</w:t>
      </w:r>
      <w:r w:rsidRPr="004E51FC">
        <w:rPr>
          <w:rFonts w:ascii="Cambria" w:hAnsi="Cambria"/>
        </w:rPr>
        <w:t>: Bezeichnung für Angehörige des gemeinen Volks in der römischen Republik.</w:t>
      </w:r>
    </w:p>
  </w:footnote>
  <w:footnote w:id="2">
    <w:p w14:paraId="7B27A602" w14:textId="77777777" w:rsidR="00AD05D2" w:rsidRPr="004E51FC" w:rsidRDefault="00AD05D2" w:rsidP="00537458">
      <w:pPr>
        <w:pStyle w:val="Funotentext"/>
        <w:ind w:left="142" w:hanging="142"/>
        <w:rPr>
          <w:rFonts w:ascii="Cambria" w:hAnsi="Cambria"/>
        </w:rPr>
      </w:pPr>
      <w:r w:rsidRPr="004E51FC">
        <w:rPr>
          <w:rStyle w:val="Funotenzeichen"/>
          <w:rFonts w:ascii="Cambria" w:hAnsi="Cambria"/>
        </w:rPr>
        <w:footnoteRef/>
      </w:r>
      <w:r w:rsidRPr="004E51FC">
        <w:rPr>
          <w:rFonts w:ascii="Cambria" w:hAnsi="Cambria"/>
        </w:rPr>
        <w:t xml:space="preserve"> </w:t>
      </w:r>
      <w:r w:rsidRPr="004E51FC">
        <w:rPr>
          <w:rFonts w:ascii="Cambria" w:hAnsi="Cambria"/>
          <w:b/>
          <w:bCs/>
        </w:rPr>
        <w:t>Patrizier</w:t>
      </w:r>
      <w:r w:rsidRPr="004E51FC">
        <w:rPr>
          <w:rFonts w:ascii="Cambria" w:hAnsi="Cambria"/>
        </w:rPr>
        <w:t>: Bezeichnung für Angehörige des Adels in der römischen Republik.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A7BB" w14:textId="77777777" w:rsidR="00F73B21" w:rsidRPr="00241E49" w:rsidRDefault="00F73B21" w:rsidP="00C479CB">
    <w:pPr>
      <w:pStyle w:val="Kopfzeile"/>
      <w:rPr>
        <w:rFonts w:ascii="Cambria" w:hAnsi="Cambria" w:cs="Times New Roman"/>
        <w:i/>
        <w:sz w:val="22"/>
        <w:szCs w:val="22"/>
      </w:rPr>
    </w:pPr>
    <w:r>
      <w:rPr>
        <w:rFonts w:ascii="Cambria" w:hAnsi="Cambria" w:cs="Times New Roman"/>
        <w:i/>
        <w:sz w:val="22"/>
        <w:szCs w:val="22"/>
      </w:rPr>
      <w:tab/>
    </w:r>
    <w:r>
      <w:rPr>
        <w:rFonts w:ascii="Cambria" w:hAnsi="Cambria" w:cs="Times New Roman"/>
        <w:i/>
        <w:sz w:val="22"/>
        <w:szCs w:val="22"/>
      </w:rPr>
      <w:tab/>
      <w:t>philovernetzt.de</w:t>
    </w:r>
  </w:p>
  <w:p w14:paraId="4B749A0F" w14:textId="77777777" w:rsidR="00F73B21" w:rsidRDefault="00F73B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046"/>
    <w:multiLevelType w:val="hybridMultilevel"/>
    <w:tmpl w:val="97ECB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68692E"/>
    <w:multiLevelType w:val="hybridMultilevel"/>
    <w:tmpl w:val="BE321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A14201"/>
    <w:multiLevelType w:val="hybridMultilevel"/>
    <w:tmpl w:val="B4161FF6"/>
    <w:lvl w:ilvl="0" w:tplc="C994AD9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6F0164"/>
    <w:multiLevelType w:val="hybridMultilevel"/>
    <w:tmpl w:val="F1C00F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6109F8"/>
    <w:multiLevelType w:val="hybridMultilevel"/>
    <w:tmpl w:val="33768426"/>
    <w:lvl w:ilvl="0" w:tplc="2B78F05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55392F8B"/>
    <w:multiLevelType w:val="hybridMultilevel"/>
    <w:tmpl w:val="A1B2B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D3669D"/>
    <w:multiLevelType w:val="hybridMultilevel"/>
    <w:tmpl w:val="D9763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4676D6"/>
    <w:multiLevelType w:val="hybridMultilevel"/>
    <w:tmpl w:val="A9884A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5A3B0B"/>
    <w:multiLevelType w:val="hybridMultilevel"/>
    <w:tmpl w:val="2DC66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1"/>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Moves/>
  <w:defaultTabStop w:val="708"/>
  <w:autoHyphenation/>
  <w:consecutiveHyphenLimit w:val="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7BC6"/>
    <w:rsid w:val="00004799"/>
    <w:rsid w:val="000140BE"/>
    <w:rsid w:val="0002455C"/>
    <w:rsid w:val="000254A9"/>
    <w:rsid w:val="000521F8"/>
    <w:rsid w:val="00065BA9"/>
    <w:rsid w:val="0008282D"/>
    <w:rsid w:val="000965F1"/>
    <w:rsid w:val="000A0B9B"/>
    <w:rsid w:val="00102D8D"/>
    <w:rsid w:val="00144B7C"/>
    <w:rsid w:val="00153BA7"/>
    <w:rsid w:val="00163447"/>
    <w:rsid w:val="001B3DB2"/>
    <w:rsid w:val="001E2733"/>
    <w:rsid w:val="001F3370"/>
    <w:rsid w:val="001F6AE1"/>
    <w:rsid w:val="00200A4F"/>
    <w:rsid w:val="00203C88"/>
    <w:rsid w:val="00223152"/>
    <w:rsid w:val="00234B17"/>
    <w:rsid w:val="002649E2"/>
    <w:rsid w:val="002822C9"/>
    <w:rsid w:val="002A3C2B"/>
    <w:rsid w:val="002A7DEB"/>
    <w:rsid w:val="002C33B3"/>
    <w:rsid w:val="002D6234"/>
    <w:rsid w:val="002E334F"/>
    <w:rsid w:val="00306F91"/>
    <w:rsid w:val="003A7B1E"/>
    <w:rsid w:val="003B3E01"/>
    <w:rsid w:val="003B4918"/>
    <w:rsid w:val="003E0120"/>
    <w:rsid w:val="004065FD"/>
    <w:rsid w:val="00436E19"/>
    <w:rsid w:val="0048292B"/>
    <w:rsid w:val="00494F2F"/>
    <w:rsid w:val="004A39CD"/>
    <w:rsid w:val="004A7898"/>
    <w:rsid w:val="004B1DED"/>
    <w:rsid w:val="004D5B46"/>
    <w:rsid w:val="004E51FC"/>
    <w:rsid w:val="00504238"/>
    <w:rsid w:val="00504D93"/>
    <w:rsid w:val="00515267"/>
    <w:rsid w:val="0051543F"/>
    <w:rsid w:val="00535C06"/>
    <w:rsid w:val="00537458"/>
    <w:rsid w:val="00547395"/>
    <w:rsid w:val="00595DA7"/>
    <w:rsid w:val="005A15A5"/>
    <w:rsid w:val="005C4E19"/>
    <w:rsid w:val="0060754C"/>
    <w:rsid w:val="00630E99"/>
    <w:rsid w:val="00636F34"/>
    <w:rsid w:val="0067628A"/>
    <w:rsid w:val="006A6306"/>
    <w:rsid w:val="006A76D6"/>
    <w:rsid w:val="006C02E6"/>
    <w:rsid w:val="006E129D"/>
    <w:rsid w:val="006E260E"/>
    <w:rsid w:val="00711950"/>
    <w:rsid w:val="0072384E"/>
    <w:rsid w:val="00744443"/>
    <w:rsid w:val="007D6ED9"/>
    <w:rsid w:val="007D7866"/>
    <w:rsid w:val="008257EE"/>
    <w:rsid w:val="00863BA2"/>
    <w:rsid w:val="0086768B"/>
    <w:rsid w:val="00875C12"/>
    <w:rsid w:val="00885CD4"/>
    <w:rsid w:val="00887880"/>
    <w:rsid w:val="0089037F"/>
    <w:rsid w:val="008935D3"/>
    <w:rsid w:val="008A4AD9"/>
    <w:rsid w:val="008C3384"/>
    <w:rsid w:val="008E0B24"/>
    <w:rsid w:val="008E1791"/>
    <w:rsid w:val="008F2F19"/>
    <w:rsid w:val="00906F63"/>
    <w:rsid w:val="00913D9C"/>
    <w:rsid w:val="00925638"/>
    <w:rsid w:val="009265F6"/>
    <w:rsid w:val="00926716"/>
    <w:rsid w:val="00934A4A"/>
    <w:rsid w:val="009502EE"/>
    <w:rsid w:val="00960BBC"/>
    <w:rsid w:val="00995D1A"/>
    <w:rsid w:val="009B339D"/>
    <w:rsid w:val="009D1982"/>
    <w:rsid w:val="009E1FC1"/>
    <w:rsid w:val="009F2934"/>
    <w:rsid w:val="00A04239"/>
    <w:rsid w:val="00A2192C"/>
    <w:rsid w:val="00A66D0C"/>
    <w:rsid w:val="00AD05D2"/>
    <w:rsid w:val="00B12310"/>
    <w:rsid w:val="00B20F90"/>
    <w:rsid w:val="00B36007"/>
    <w:rsid w:val="00B5262C"/>
    <w:rsid w:val="00B55856"/>
    <w:rsid w:val="00B55C02"/>
    <w:rsid w:val="00B65933"/>
    <w:rsid w:val="00B75F17"/>
    <w:rsid w:val="00B87BFF"/>
    <w:rsid w:val="00B913F7"/>
    <w:rsid w:val="00BA7027"/>
    <w:rsid w:val="00BA7196"/>
    <w:rsid w:val="00BB4C4B"/>
    <w:rsid w:val="00BB6DB4"/>
    <w:rsid w:val="00BF0B2A"/>
    <w:rsid w:val="00BF2D3F"/>
    <w:rsid w:val="00BF7BC6"/>
    <w:rsid w:val="00C01A60"/>
    <w:rsid w:val="00C3455B"/>
    <w:rsid w:val="00C479CB"/>
    <w:rsid w:val="00C64057"/>
    <w:rsid w:val="00C64277"/>
    <w:rsid w:val="00CF4C37"/>
    <w:rsid w:val="00D115ED"/>
    <w:rsid w:val="00D15213"/>
    <w:rsid w:val="00D22F16"/>
    <w:rsid w:val="00D3214D"/>
    <w:rsid w:val="00D90148"/>
    <w:rsid w:val="00D974C0"/>
    <w:rsid w:val="00DC5890"/>
    <w:rsid w:val="00E12D54"/>
    <w:rsid w:val="00E13ECD"/>
    <w:rsid w:val="00E325B6"/>
    <w:rsid w:val="00E34E63"/>
    <w:rsid w:val="00E55346"/>
    <w:rsid w:val="00EB1589"/>
    <w:rsid w:val="00EC110B"/>
    <w:rsid w:val="00ED38AF"/>
    <w:rsid w:val="00F0445D"/>
    <w:rsid w:val="00F35739"/>
    <w:rsid w:val="00F4752D"/>
    <w:rsid w:val="00F567EE"/>
    <w:rsid w:val="00F632FD"/>
    <w:rsid w:val="00F645FE"/>
    <w:rsid w:val="00F669B7"/>
    <w:rsid w:val="00F73B21"/>
    <w:rsid w:val="00F776BF"/>
    <w:rsid w:val="00FD083A"/>
    <w:rsid w:val="00FD170D"/>
    <w:rsid w:val="00FF3D50"/>
    <w:rsid w:val="132AAD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D075F5"/>
  <w15:docId w15:val="{86B0D830-5B72-A34F-A63E-E2A0D3A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35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BC6"/>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qFormat/>
    <w:rsid w:val="00BF7BC6"/>
    <w:rPr>
      <w:sz w:val="24"/>
      <w:szCs w:val="24"/>
    </w:rPr>
  </w:style>
  <w:style w:type="paragraph" w:styleId="Fuzeile">
    <w:name w:val="footer"/>
    <w:basedOn w:val="Standard"/>
    <w:link w:val="FuzeileZchn"/>
    <w:uiPriority w:val="99"/>
    <w:unhideWhenUsed/>
    <w:rsid w:val="00BF7BC6"/>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BF7BC6"/>
    <w:rPr>
      <w:sz w:val="24"/>
      <w:szCs w:val="24"/>
    </w:rPr>
  </w:style>
  <w:style w:type="table" w:customStyle="1" w:styleId="Gitternetztabelle1hell1">
    <w:name w:val="Gitternetztabelle 1 hell1"/>
    <w:basedOn w:val="NormaleTabelle"/>
    <w:uiPriority w:val="46"/>
    <w:rsid w:val="00BF7B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5473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395"/>
    <w:rPr>
      <w:rFonts w:ascii="Segoe UI" w:hAnsi="Segoe UI" w:cs="Segoe UI"/>
      <w:sz w:val="18"/>
      <w:szCs w:val="18"/>
    </w:rPr>
  </w:style>
  <w:style w:type="character" w:styleId="Kommentarzeichen">
    <w:name w:val="annotation reference"/>
    <w:basedOn w:val="Absatz-Standardschriftart"/>
    <w:uiPriority w:val="99"/>
    <w:semiHidden/>
    <w:unhideWhenUsed/>
    <w:rsid w:val="00B75F17"/>
    <w:rPr>
      <w:sz w:val="16"/>
      <w:szCs w:val="16"/>
    </w:rPr>
  </w:style>
  <w:style w:type="paragraph" w:styleId="Kommentartext">
    <w:name w:val="annotation text"/>
    <w:basedOn w:val="Standard"/>
    <w:link w:val="KommentartextZchn"/>
    <w:uiPriority w:val="99"/>
    <w:semiHidden/>
    <w:unhideWhenUsed/>
    <w:rsid w:val="00B75F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5F17"/>
    <w:rPr>
      <w:sz w:val="20"/>
      <w:szCs w:val="20"/>
    </w:rPr>
  </w:style>
  <w:style w:type="paragraph" w:styleId="Kommentarthema">
    <w:name w:val="annotation subject"/>
    <w:basedOn w:val="Kommentartext"/>
    <w:next w:val="Kommentartext"/>
    <w:link w:val="KommentarthemaZchn"/>
    <w:uiPriority w:val="99"/>
    <w:semiHidden/>
    <w:unhideWhenUsed/>
    <w:rsid w:val="00B75F17"/>
    <w:rPr>
      <w:b/>
      <w:bCs/>
    </w:rPr>
  </w:style>
  <w:style w:type="character" w:customStyle="1" w:styleId="KommentarthemaZchn">
    <w:name w:val="Kommentarthema Zchn"/>
    <w:basedOn w:val="KommentartextZchn"/>
    <w:link w:val="Kommentarthema"/>
    <w:uiPriority w:val="99"/>
    <w:semiHidden/>
    <w:rsid w:val="00B75F17"/>
    <w:rPr>
      <w:b/>
      <w:bCs/>
      <w:sz w:val="20"/>
      <w:szCs w:val="20"/>
    </w:rPr>
  </w:style>
  <w:style w:type="paragraph" w:styleId="berarbeitung">
    <w:name w:val="Revision"/>
    <w:hidden/>
    <w:uiPriority w:val="99"/>
    <w:semiHidden/>
    <w:rsid w:val="00E12D54"/>
    <w:pPr>
      <w:spacing w:after="0" w:line="240" w:lineRule="auto"/>
    </w:pPr>
  </w:style>
  <w:style w:type="paragraph" w:styleId="Listenabsatz">
    <w:name w:val="List Paragraph"/>
    <w:basedOn w:val="Standard"/>
    <w:uiPriority w:val="34"/>
    <w:qFormat/>
    <w:rsid w:val="00C64057"/>
    <w:pPr>
      <w:ind w:left="720"/>
      <w:contextualSpacing/>
    </w:pPr>
  </w:style>
  <w:style w:type="table" w:styleId="Tabellenraster">
    <w:name w:val="Table Grid"/>
    <w:basedOn w:val="NormaleTabelle"/>
    <w:uiPriority w:val="39"/>
    <w:rsid w:val="0050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B36007"/>
  </w:style>
  <w:style w:type="character" w:styleId="Hyperlink">
    <w:name w:val="Hyperlink"/>
    <w:basedOn w:val="Absatz-Standardschriftart"/>
    <w:uiPriority w:val="99"/>
    <w:unhideWhenUsed/>
    <w:rsid w:val="00B913F7"/>
    <w:rPr>
      <w:color w:val="0000FF"/>
      <w:u w:val="single"/>
    </w:rPr>
  </w:style>
  <w:style w:type="character" w:styleId="BesuchterLink">
    <w:name w:val="FollowedHyperlink"/>
    <w:basedOn w:val="Absatz-Standardschriftart"/>
    <w:uiPriority w:val="99"/>
    <w:semiHidden/>
    <w:unhideWhenUsed/>
    <w:rsid w:val="005C4E19"/>
    <w:rPr>
      <w:color w:val="954F72" w:themeColor="followedHyperlink"/>
      <w:u w:val="single"/>
    </w:rPr>
  </w:style>
  <w:style w:type="character" w:styleId="NichtaufgelsteErwhnung">
    <w:name w:val="Unresolved Mention"/>
    <w:basedOn w:val="Absatz-Standardschriftart"/>
    <w:uiPriority w:val="99"/>
    <w:semiHidden/>
    <w:unhideWhenUsed/>
    <w:rsid w:val="000965F1"/>
    <w:rPr>
      <w:color w:val="605E5C"/>
      <w:shd w:val="clear" w:color="auto" w:fill="E1DFDD"/>
    </w:rPr>
  </w:style>
  <w:style w:type="paragraph" w:styleId="Funotentext">
    <w:name w:val="footnote text"/>
    <w:basedOn w:val="Standard"/>
    <w:link w:val="FunotentextZchn"/>
    <w:uiPriority w:val="99"/>
    <w:semiHidden/>
    <w:unhideWhenUsed/>
    <w:rsid w:val="00AD05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05D2"/>
    <w:rPr>
      <w:sz w:val="20"/>
      <w:szCs w:val="20"/>
    </w:rPr>
  </w:style>
  <w:style w:type="character" w:styleId="Funotenzeichen">
    <w:name w:val="footnote reference"/>
    <w:basedOn w:val="Absatz-Standardschriftart"/>
    <w:uiPriority w:val="99"/>
    <w:semiHidden/>
    <w:unhideWhenUsed/>
    <w:rsid w:val="00AD05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8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mn.edu/hr/sexharassassault" TargetMode="External"/><Relationship Id="rId5" Type="http://schemas.openxmlformats.org/officeDocument/2006/relationships/footnotes" Target="footnotes.xml"/><Relationship Id="rId10" Type="http://schemas.openxmlformats.org/officeDocument/2006/relationships/hyperlink" Target="https://www.jetzt.de/sex/warum-frauen-sich-auf-verlegenheitssex-einlassen" TargetMode="External"/><Relationship Id="rId4" Type="http://schemas.openxmlformats.org/officeDocument/2006/relationships/webSettings" Target="webSettings.xml"/><Relationship Id="rId9" Type="http://schemas.openxmlformats.org/officeDocument/2006/relationships/hyperlink" Target="https://oll.libertyfund.org/titles/mill-on-liberty-and-the-subjection-of-women-1879-e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2037</Words>
  <Characters>12840</Characters>
  <Application>Microsoft Office Word</Application>
  <DocSecurity>0</DocSecurity>
  <Lines>107</Lines>
  <Paragraphs>29</Paragraphs>
  <ScaleCrop>false</ScaleCrop>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Merkel</dc:creator>
  <cp:keywords/>
  <dc:description/>
  <cp:lastModifiedBy>Anne Burkard</cp:lastModifiedBy>
  <cp:revision>22</cp:revision>
  <cp:lastPrinted>2019-01-11T15:28:00Z</cp:lastPrinted>
  <dcterms:created xsi:type="dcterms:W3CDTF">2020-10-25T12:16:00Z</dcterms:created>
  <dcterms:modified xsi:type="dcterms:W3CDTF">2020-11-06T09:03:00Z</dcterms:modified>
</cp:coreProperties>
</file>