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C25D" w14:textId="4289C831" w:rsidR="00603265" w:rsidRPr="00603265" w:rsidRDefault="00603265" w:rsidP="00F42105">
      <w:pPr>
        <w:pBdr>
          <w:bottom w:val="single" w:sz="4" w:space="1" w:color="auto"/>
        </w:pBdr>
        <w:spacing w:line="276" w:lineRule="auto"/>
        <w:jc w:val="both"/>
        <w:rPr>
          <w:rFonts w:ascii="Cambria" w:hAnsi="Cambria"/>
          <w:b/>
          <w:color w:val="FF0000"/>
        </w:rPr>
      </w:pPr>
      <w:r w:rsidRPr="00603265">
        <w:rPr>
          <w:rFonts w:ascii="Cambria" w:hAnsi="Cambria"/>
          <w:b/>
          <w:color w:val="000000" w:themeColor="text1"/>
        </w:rPr>
        <w:t>Unterrichtsbaustein 1 ‚</w:t>
      </w:r>
      <w:r w:rsidR="00CB2118">
        <w:rPr>
          <w:rFonts w:ascii="Cambria" w:hAnsi="Cambria"/>
          <w:b/>
        </w:rPr>
        <w:t>Wozu Einwilligung</w:t>
      </w:r>
      <w:r w:rsidRPr="00603265">
        <w:rPr>
          <w:rFonts w:ascii="Cambria" w:hAnsi="Cambria"/>
          <w:b/>
        </w:rPr>
        <w:t>?</w:t>
      </w:r>
      <w:r w:rsidRPr="00603265">
        <w:rPr>
          <w:rFonts w:ascii="Cambria" w:hAnsi="Cambria"/>
          <w:b/>
          <w:color w:val="000000" w:themeColor="text1"/>
        </w:rPr>
        <w:t>‘</w:t>
      </w:r>
    </w:p>
    <w:p w14:paraId="672A6659" w14:textId="77777777" w:rsidR="00603265" w:rsidRPr="00603265" w:rsidRDefault="00603265" w:rsidP="00F42105">
      <w:pPr>
        <w:spacing w:line="276" w:lineRule="auto"/>
        <w:jc w:val="both"/>
        <w:rPr>
          <w:rFonts w:ascii="Cambria" w:hAnsi="Cambria"/>
          <w:color w:val="000000" w:themeColor="text1"/>
        </w:rPr>
      </w:pPr>
    </w:p>
    <w:p w14:paraId="36C2B1B4" w14:textId="77777777" w:rsidR="00603265" w:rsidRPr="00603265" w:rsidRDefault="00603265" w:rsidP="00F42105">
      <w:pPr>
        <w:spacing w:line="276" w:lineRule="auto"/>
        <w:rPr>
          <w:rFonts w:ascii="Cambria" w:hAnsi="Cambria"/>
          <w:b/>
          <w:i/>
          <w:color w:val="000000" w:themeColor="text1"/>
        </w:rPr>
      </w:pPr>
      <w:r w:rsidRPr="00603265">
        <w:rPr>
          <w:rFonts w:ascii="Cambria" w:hAnsi="Cambria"/>
          <w:b/>
          <w:i/>
          <w:color w:val="000000" w:themeColor="text1"/>
        </w:rPr>
        <w:t xml:space="preserve">Materialien zum Baustein </w:t>
      </w:r>
    </w:p>
    <w:p w14:paraId="0A37501D" w14:textId="77777777" w:rsidR="00603265" w:rsidRPr="00603265" w:rsidRDefault="00603265" w:rsidP="00F42105">
      <w:pPr>
        <w:spacing w:line="276" w:lineRule="auto"/>
        <w:jc w:val="both"/>
        <w:rPr>
          <w:rFonts w:ascii="Cambria" w:hAnsi="Cambria"/>
          <w:color w:val="000000" w:themeColor="text1"/>
        </w:rPr>
      </w:pPr>
    </w:p>
    <w:p w14:paraId="497D3728" w14:textId="77777777" w:rsidR="00603265" w:rsidRDefault="00603265" w:rsidP="00F42105">
      <w:pPr>
        <w:pStyle w:val="Listenabsatz"/>
        <w:numPr>
          <w:ilvl w:val="0"/>
          <w:numId w:val="1"/>
        </w:numPr>
        <w:spacing w:line="276" w:lineRule="auto"/>
        <w:ind w:left="284" w:hanging="284"/>
        <w:rPr>
          <w:rFonts w:ascii="Cambria" w:hAnsi="Cambria"/>
          <w:color w:val="000000" w:themeColor="text1"/>
        </w:rPr>
      </w:pPr>
      <w:r w:rsidRPr="00603265">
        <w:rPr>
          <w:rFonts w:ascii="Cambria" w:hAnsi="Cambria"/>
          <w:color w:val="000000" w:themeColor="text1"/>
        </w:rPr>
        <w:t xml:space="preserve">M1 Annäherung an das Phänomen und die Bedeutung von Einwilligung </w:t>
      </w:r>
    </w:p>
    <w:p w14:paraId="5DAB6C7B" w14:textId="77777777" w:rsidR="00F42105" w:rsidRPr="00F42105" w:rsidRDefault="00F42105" w:rsidP="00F42105">
      <w:pPr>
        <w:pStyle w:val="Listenabsatz"/>
        <w:spacing w:line="276" w:lineRule="auto"/>
        <w:ind w:left="284"/>
        <w:rPr>
          <w:rFonts w:ascii="Cambria" w:hAnsi="Cambria"/>
          <w:color w:val="000000" w:themeColor="text1"/>
        </w:rPr>
      </w:pPr>
    </w:p>
    <w:p w14:paraId="2668927C" w14:textId="77777777" w:rsidR="00603265" w:rsidRDefault="00603265" w:rsidP="00F42105">
      <w:pPr>
        <w:pStyle w:val="Listenabsatz"/>
        <w:numPr>
          <w:ilvl w:val="0"/>
          <w:numId w:val="1"/>
        </w:numPr>
        <w:spacing w:line="276" w:lineRule="auto"/>
        <w:ind w:left="284" w:hanging="284"/>
        <w:rPr>
          <w:rFonts w:ascii="Cambria" w:hAnsi="Cambria"/>
          <w:color w:val="000000" w:themeColor="text1"/>
        </w:rPr>
      </w:pPr>
      <w:r w:rsidRPr="00603265">
        <w:rPr>
          <w:rFonts w:ascii="Cambria" w:hAnsi="Cambria"/>
          <w:color w:val="000000" w:themeColor="text1"/>
        </w:rPr>
        <w:t xml:space="preserve">M2 </w:t>
      </w:r>
      <w:r w:rsidR="008C4D15">
        <w:rPr>
          <w:rFonts w:ascii="Cambria" w:hAnsi="Cambria"/>
          <w:color w:val="000000" w:themeColor="text1"/>
        </w:rPr>
        <w:t xml:space="preserve">Was ist </w:t>
      </w:r>
      <w:r w:rsidR="004F747E">
        <w:rPr>
          <w:rFonts w:ascii="Cambria" w:hAnsi="Cambria"/>
          <w:color w:val="000000" w:themeColor="text1"/>
        </w:rPr>
        <w:t xml:space="preserve">Einwilligung und wann ist sie gültig? </w:t>
      </w:r>
    </w:p>
    <w:p w14:paraId="02EB378F" w14:textId="77777777" w:rsidR="00F42105" w:rsidRPr="00F42105" w:rsidRDefault="00F42105" w:rsidP="00F42105">
      <w:pPr>
        <w:pStyle w:val="Listenabsatz"/>
        <w:spacing w:line="276" w:lineRule="auto"/>
        <w:ind w:left="284"/>
        <w:rPr>
          <w:rFonts w:ascii="Cambria" w:hAnsi="Cambria"/>
          <w:color w:val="000000" w:themeColor="text1"/>
        </w:rPr>
      </w:pPr>
    </w:p>
    <w:p w14:paraId="39849D42" w14:textId="591A714E" w:rsidR="00603265" w:rsidRPr="00603265" w:rsidRDefault="00603265" w:rsidP="00F42105">
      <w:pPr>
        <w:pStyle w:val="Listenabsatz"/>
        <w:numPr>
          <w:ilvl w:val="0"/>
          <w:numId w:val="1"/>
        </w:numPr>
        <w:spacing w:line="276" w:lineRule="auto"/>
        <w:ind w:left="284" w:hanging="284"/>
        <w:rPr>
          <w:rFonts w:ascii="Cambria" w:hAnsi="Cambria"/>
        </w:rPr>
      </w:pPr>
      <w:r w:rsidRPr="00603265">
        <w:rPr>
          <w:rFonts w:ascii="Cambria" w:hAnsi="Cambria"/>
          <w:color w:val="000000" w:themeColor="text1"/>
        </w:rPr>
        <w:t xml:space="preserve">M3 </w:t>
      </w:r>
      <w:r w:rsidR="004F747E">
        <w:rPr>
          <w:rFonts w:ascii="Cambria" w:hAnsi="Cambria"/>
          <w:color w:val="000000" w:themeColor="text1"/>
        </w:rPr>
        <w:t xml:space="preserve">Zur moralischen </w:t>
      </w:r>
      <w:r w:rsidR="00AE184C">
        <w:rPr>
          <w:rFonts w:ascii="Cambria" w:hAnsi="Cambria"/>
          <w:color w:val="000000" w:themeColor="text1"/>
        </w:rPr>
        <w:t>Bedeutung</w:t>
      </w:r>
      <w:r w:rsidR="004F747E">
        <w:rPr>
          <w:rFonts w:ascii="Cambria" w:hAnsi="Cambria"/>
          <w:color w:val="000000" w:themeColor="text1"/>
        </w:rPr>
        <w:t xml:space="preserve"> von Einwilligung </w:t>
      </w:r>
    </w:p>
    <w:p w14:paraId="6A05A809" w14:textId="77777777" w:rsidR="00603265" w:rsidRPr="00603265" w:rsidRDefault="00603265" w:rsidP="00F42105">
      <w:pPr>
        <w:spacing w:line="276" w:lineRule="auto"/>
        <w:rPr>
          <w:rFonts w:ascii="Cambria" w:hAnsi="Cambria"/>
        </w:rPr>
      </w:pPr>
    </w:p>
    <w:p w14:paraId="5A39BBE3" w14:textId="77777777" w:rsidR="00603265" w:rsidRPr="00603265" w:rsidRDefault="00603265" w:rsidP="00F42105">
      <w:pPr>
        <w:spacing w:line="276" w:lineRule="auto"/>
        <w:rPr>
          <w:rFonts w:ascii="Cambria" w:hAnsi="Cambria"/>
        </w:rPr>
        <w:sectPr w:rsidR="00603265" w:rsidRPr="00603265"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29B6B8D4" w14:textId="58C9E19A" w:rsidR="00603265" w:rsidRDefault="00603265" w:rsidP="00F42105">
      <w:pPr>
        <w:spacing w:line="276" w:lineRule="auto"/>
        <w:jc w:val="both"/>
        <w:rPr>
          <w:rFonts w:ascii="Cambria" w:hAnsi="Cambria"/>
          <w:b/>
          <w:color w:val="000000" w:themeColor="text1"/>
        </w:rPr>
      </w:pPr>
      <w:r w:rsidRPr="00603265">
        <w:rPr>
          <w:rFonts w:ascii="Cambria" w:hAnsi="Cambria"/>
          <w:b/>
        </w:rPr>
        <w:lastRenderedPageBreak/>
        <w:t xml:space="preserve">M1 </w:t>
      </w:r>
      <w:r w:rsidRPr="00603265">
        <w:rPr>
          <w:rFonts w:ascii="Cambria" w:hAnsi="Cambria"/>
          <w:b/>
          <w:color w:val="000000" w:themeColor="text1"/>
        </w:rPr>
        <w:t xml:space="preserve">Annäherung an das Phänomen und die Bedeutung von Einwilligung </w:t>
      </w:r>
    </w:p>
    <w:p w14:paraId="72A3D3EC" w14:textId="77777777" w:rsidR="00603265" w:rsidRDefault="00603265" w:rsidP="00F42105">
      <w:pPr>
        <w:spacing w:line="276" w:lineRule="auto"/>
        <w:jc w:val="both"/>
        <w:rPr>
          <w:rFonts w:ascii="Cambria" w:hAnsi="Cambria"/>
        </w:rPr>
      </w:pPr>
    </w:p>
    <w:p w14:paraId="36F4D022" w14:textId="77777777" w:rsidR="00603265" w:rsidRPr="005C765C" w:rsidRDefault="005C765C" w:rsidP="00F42105">
      <w:pPr>
        <w:spacing w:line="276" w:lineRule="auto"/>
        <w:jc w:val="both"/>
        <w:rPr>
          <w:rFonts w:ascii="Cambria" w:hAnsi="Cambria"/>
          <w:b/>
        </w:rPr>
      </w:pPr>
      <w:r w:rsidRPr="005C765C">
        <w:rPr>
          <w:rFonts w:ascii="Cambria" w:hAnsi="Cambria"/>
          <w:b/>
        </w:rPr>
        <w:t xml:space="preserve">Aufgaben </w:t>
      </w:r>
    </w:p>
    <w:p w14:paraId="0D0B940D" w14:textId="6C5D09B4" w:rsidR="005C765C" w:rsidRDefault="00811377" w:rsidP="00F42105">
      <w:pPr>
        <w:spacing w:line="276" w:lineRule="auto"/>
        <w:jc w:val="both"/>
        <w:rPr>
          <w:rFonts w:ascii="Cambria" w:hAnsi="Cambria"/>
        </w:rPr>
      </w:pPr>
      <w:r>
        <w:rPr>
          <w:rFonts w:ascii="Cambria" w:hAnsi="Cambria"/>
          <w:noProof/>
        </w:rPr>
        <w:drawing>
          <wp:anchor distT="0" distB="0" distL="114300" distR="114300" simplePos="0" relativeHeight="251658240" behindDoc="0" locked="0" layoutInCell="1" allowOverlap="1" wp14:anchorId="5B341529" wp14:editId="431CB6EA">
            <wp:simplePos x="0" y="0"/>
            <wp:positionH relativeFrom="margin">
              <wp:posOffset>4436533</wp:posOffset>
            </wp:positionH>
            <wp:positionV relativeFrom="margin">
              <wp:posOffset>664210</wp:posOffset>
            </wp:positionV>
            <wp:extent cx="1225550" cy="1245870"/>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10-10 um 19.03.28.png"/>
                    <pic:cNvPicPr/>
                  </pic:nvPicPr>
                  <pic:blipFill>
                    <a:blip r:embed="rId10">
                      <a:extLst>
                        <a:ext uri="{28A0092B-C50C-407E-A947-70E740481C1C}">
                          <a14:useLocalDpi xmlns:a14="http://schemas.microsoft.com/office/drawing/2010/main" val="0"/>
                        </a:ext>
                      </a:extLst>
                    </a:blip>
                    <a:stretch>
                      <a:fillRect/>
                    </a:stretch>
                  </pic:blipFill>
                  <pic:spPr>
                    <a:xfrm>
                      <a:off x="0" y="0"/>
                      <a:ext cx="1225550" cy="1245870"/>
                    </a:xfrm>
                    <a:prstGeom prst="rect">
                      <a:avLst/>
                    </a:prstGeom>
                  </pic:spPr>
                </pic:pic>
              </a:graphicData>
            </a:graphic>
            <wp14:sizeRelH relativeFrom="margin">
              <wp14:pctWidth>0</wp14:pctWidth>
            </wp14:sizeRelH>
            <wp14:sizeRelV relativeFrom="margin">
              <wp14:pctHeight>0</wp14:pctHeight>
            </wp14:sizeRelV>
          </wp:anchor>
        </w:drawing>
      </w:r>
    </w:p>
    <w:p w14:paraId="102C052A" w14:textId="77777777" w:rsidR="001A7FDA" w:rsidRPr="001A7FDA" w:rsidRDefault="005C765C" w:rsidP="001A7FDA">
      <w:pPr>
        <w:pStyle w:val="Listenabsatz"/>
        <w:numPr>
          <w:ilvl w:val="0"/>
          <w:numId w:val="2"/>
        </w:numPr>
        <w:spacing w:line="276" w:lineRule="auto"/>
        <w:ind w:left="426" w:hanging="426"/>
        <w:rPr>
          <w:rFonts w:ascii="Cambria" w:hAnsi="Cambria"/>
        </w:rPr>
      </w:pPr>
      <w:r w:rsidRPr="005C765C">
        <w:rPr>
          <w:rFonts w:ascii="Cambria" w:hAnsi="Cambria"/>
        </w:rPr>
        <w:t xml:space="preserve">Schaut euch </w:t>
      </w:r>
      <w:r w:rsidR="00CB2118">
        <w:rPr>
          <w:rFonts w:ascii="Cambria" w:hAnsi="Cambria"/>
        </w:rPr>
        <w:t xml:space="preserve">gemeinsam </w:t>
      </w:r>
      <w:r w:rsidRPr="005C765C">
        <w:rPr>
          <w:rFonts w:ascii="Cambria" w:hAnsi="Cambria"/>
        </w:rPr>
        <w:t>das Video „</w:t>
      </w:r>
      <w:proofErr w:type="spellStart"/>
      <w:r w:rsidRPr="005C765C">
        <w:rPr>
          <w:rFonts w:ascii="Cambria" w:hAnsi="Cambria"/>
        </w:rPr>
        <w:t>Consent</w:t>
      </w:r>
      <w:proofErr w:type="spellEnd"/>
      <w:r w:rsidRPr="005C765C">
        <w:rPr>
          <w:rFonts w:ascii="Cambria" w:hAnsi="Cambria"/>
        </w:rPr>
        <w:t xml:space="preserve"> – </w:t>
      </w:r>
      <w:proofErr w:type="spellStart"/>
      <w:r w:rsidRPr="005C765C">
        <w:rPr>
          <w:rFonts w:ascii="Cambria" w:hAnsi="Cambria"/>
        </w:rPr>
        <w:t>It’s</w:t>
      </w:r>
      <w:proofErr w:type="spellEnd"/>
      <w:r w:rsidRPr="005C765C">
        <w:rPr>
          <w:rFonts w:ascii="Cambria" w:hAnsi="Cambria"/>
        </w:rPr>
        <w:t xml:space="preserve"> </w:t>
      </w:r>
      <w:proofErr w:type="spellStart"/>
      <w:r w:rsidRPr="005C765C">
        <w:rPr>
          <w:rFonts w:ascii="Cambria" w:hAnsi="Cambria"/>
        </w:rPr>
        <w:t>as</w:t>
      </w:r>
      <w:proofErr w:type="spellEnd"/>
      <w:r w:rsidRPr="005C765C">
        <w:rPr>
          <w:rFonts w:ascii="Cambria" w:hAnsi="Cambria"/>
        </w:rPr>
        <w:t xml:space="preserve"> Simple </w:t>
      </w:r>
      <w:proofErr w:type="spellStart"/>
      <w:r w:rsidRPr="005C765C">
        <w:rPr>
          <w:rFonts w:ascii="Cambria" w:hAnsi="Cambria"/>
        </w:rPr>
        <w:t>as</w:t>
      </w:r>
      <w:proofErr w:type="spellEnd"/>
      <w:r w:rsidRPr="005C765C">
        <w:rPr>
          <w:rFonts w:ascii="Cambria" w:hAnsi="Cambria"/>
        </w:rPr>
        <w:t xml:space="preserve"> Tea“ </w:t>
      </w:r>
      <w:r w:rsidR="00CB2118">
        <w:rPr>
          <w:rFonts w:ascii="Cambria" w:hAnsi="Cambria"/>
        </w:rPr>
        <w:t xml:space="preserve">von Minute 00:09 bis </w:t>
      </w:r>
      <w:r w:rsidR="00493080">
        <w:rPr>
          <w:rFonts w:ascii="Cambria" w:hAnsi="Cambria"/>
        </w:rPr>
        <w:t>02:</w:t>
      </w:r>
      <w:r w:rsidR="00493080" w:rsidRPr="00C4228E">
        <w:rPr>
          <w:rFonts w:ascii="Cambria" w:hAnsi="Cambria"/>
          <w:color w:val="000000" w:themeColor="text1"/>
        </w:rPr>
        <w:t>32</w:t>
      </w:r>
      <w:r w:rsidR="00CB2118" w:rsidRPr="00C4228E">
        <w:rPr>
          <w:rFonts w:ascii="Cambria" w:hAnsi="Cambria"/>
          <w:color w:val="000000" w:themeColor="text1"/>
        </w:rPr>
        <w:t xml:space="preserve"> </w:t>
      </w:r>
      <w:r w:rsidRPr="00C4228E">
        <w:rPr>
          <w:rFonts w:ascii="Cambria" w:hAnsi="Cambria"/>
          <w:color w:val="000000" w:themeColor="text1"/>
        </w:rPr>
        <w:t>an (</w:t>
      </w:r>
      <w:hyperlink r:id="rId11" w:history="1">
        <w:r w:rsidRPr="00C4228E">
          <w:rPr>
            <w:rStyle w:val="Hyperlink"/>
            <w:rFonts w:ascii="Cambria" w:hAnsi="Cambria"/>
            <w:color w:val="000000" w:themeColor="text1"/>
          </w:rPr>
          <w:t>https://www.youtube.com/watch?v=2ovcQgIN5G4</w:t>
        </w:r>
      </w:hyperlink>
      <w:r w:rsidRPr="00C4228E">
        <w:rPr>
          <w:rFonts w:ascii="Cambria" w:hAnsi="Cambria"/>
          <w:color w:val="000000" w:themeColor="text1"/>
        </w:rPr>
        <w:t>)</w:t>
      </w:r>
      <w:r w:rsidR="00811377" w:rsidRPr="00C4228E">
        <w:rPr>
          <w:rFonts w:ascii="Cambria" w:hAnsi="Cambria"/>
          <w:color w:val="000000" w:themeColor="text1"/>
        </w:rPr>
        <w:t xml:space="preserve">. </w:t>
      </w:r>
      <w:r w:rsidR="00811377">
        <w:rPr>
          <w:rFonts w:ascii="Cambria" w:hAnsi="Cambria"/>
        </w:rPr>
        <w:t>Ü</w:t>
      </w:r>
      <w:r w:rsidR="00CB2118">
        <w:rPr>
          <w:rFonts w:ascii="Cambria" w:hAnsi="Cambria"/>
        </w:rPr>
        <w:t>berlegt, auf welche Situationen man das Tee-Beispiel übertragen kann</w:t>
      </w:r>
      <w:r w:rsidR="00BA7F83">
        <w:rPr>
          <w:rFonts w:ascii="Cambria" w:hAnsi="Cambria"/>
        </w:rPr>
        <w:t xml:space="preserve"> und was </w:t>
      </w:r>
      <w:r w:rsidR="00BA7F83" w:rsidRPr="001A7FDA">
        <w:rPr>
          <w:rFonts w:ascii="Cambria" w:hAnsi="Cambria"/>
        </w:rPr>
        <w:t xml:space="preserve">diese </w:t>
      </w:r>
      <w:r w:rsidR="00811377" w:rsidRPr="001A7FDA">
        <w:rPr>
          <w:rFonts w:ascii="Cambria" w:hAnsi="Cambria"/>
        </w:rPr>
        <w:t xml:space="preserve">Situationen </w:t>
      </w:r>
      <w:r w:rsidR="00BA7F83" w:rsidRPr="001A7FDA">
        <w:rPr>
          <w:rFonts w:ascii="Cambria" w:hAnsi="Cambria"/>
        </w:rPr>
        <w:t>gemeinsam haben</w:t>
      </w:r>
      <w:r w:rsidR="00CB2118" w:rsidRPr="001A7FDA">
        <w:rPr>
          <w:rFonts w:ascii="Cambria" w:hAnsi="Cambria"/>
        </w:rPr>
        <w:t xml:space="preserve">. </w:t>
      </w:r>
    </w:p>
    <w:p w14:paraId="054ED4FB" w14:textId="11B7A44E" w:rsidR="005C765C" w:rsidRPr="001A7FDA" w:rsidRDefault="001A7FDA" w:rsidP="001A7FDA">
      <w:pPr>
        <w:pStyle w:val="Listenabsatz"/>
        <w:numPr>
          <w:ilvl w:val="0"/>
          <w:numId w:val="2"/>
        </w:numPr>
        <w:spacing w:line="276" w:lineRule="auto"/>
        <w:ind w:left="426" w:hanging="426"/>
        <w:rPr>
          <w:rFonts w:ascii="Cambria" w:hAnsi="Cambria"/>
        </w:rPr>
      </w:pPr>
      <w:r w:rsidRPr="001A7FDA">
        <w:rPr>
          <w:rFonts w:ascii="Cambria" w:hAnsi="Cambria"/>
        </w:rPr>
        <w:t xml:space="preserve">Begründet, warum in den von euch (in Aufgabe 1) gefundenen Situationen </w:t>
      </w:r>
      <w:r>
        <w:rPr>
          <w:rFonts w:ascii="Cambria" w:hAnsi="Cambria"/>
        </w:rPr>
        <w:t xml:space="preserve">eine </w:t>
      </w:r>
      <w:r w:rsidRPr="001A7FDA">
        <w:rPr>
          <w:rFonts w:ascii="Cambria" w:hAnsi="Cambria"/>
        </w:rPr>
        <w:t xml:space="preserve">Einwilligung </w:t>
      </w:r>
      <w:r>
        <w:rPr>
          <w:rFonts w:ascii="Cambria" w:hAnsi="Cambria"/>
        </w:rPr>
        <w:t>in die Handlungen wichtig sein könnte</w:t>
      </w:r>
      <w:r w:rsidRPr="001A7FDA">
        <w:rPr>
          <w:rFonts w:ascii="Cambria" w:hAnsi="Cambria"/>
        </w:rPr>
        <w:t>.</w:t>
      </w:r>
    </w:p>
    <w:p w14:paraId="698DC8C9" w14:textId="77777777" w:rsidR="001A7FDA" w:rsidRDefault="00292B5C" w:rsidP="00105A3C">
      <w:pPr>
        <w:pStyle w:val="Listenabsatz"/>
        <w:numPr>
          <w:ilvl w:val="0"/>
          <w:numId w:val="2"/>
        </w:numPr>
        <w:spacing w:line="276" w:lineRule="auto"/>
        <w:ind w:left="426" w:hanging="426"/>
        <w:jc w:val="both"/>
        <w:rPr>
          <w:rFonts w:ascii="Cambria" w:hAnsi="Cambria"/>
        </w:rPr>
      </w:pPr>
      <w:r w:rsidRPr="001A7FDA">
        <w:rPr>
          <w:rFonts w:ascii="Cambria" w:hAnsi="Cambria"/>
        </w:rPr>
        <w:t>Am Ende des Videos heißt es</w:t>
      </w:r>
      <w:r w:rsidR="009B1F53" w:rsidRPr="001A7FDA">
        <w:rPr>
          <w:rFonts w:ascii="Cambria" w:hAnsi="Cambria"/>
        </w:rPr>
        <w:t>: „Wenn dir klar ist, wie</w:t>
      </w:r>
      <w:r w:rsidR="009B1F53" w:rsidRPr="00292B5C">
        <w:rPr>
          <w:rFonts w:ascii="Cambria" w:hAnsi="Cambria"/>
        </w:rPr>
        <w:t xml:space="preserve"> komplett schwachsinnig es ist, Menschen zum Tee zu zwingen, wenn sie gar keinen Tee wollen, und wenn du verstehst, wann Menschen keinen Tee wollen, wie schwer ist es dann, wenn es um Sex geht? Egal, ob Tee oder Sex: </w:t>
      </w:r>
      <w:r w:rsidR="009B1F53" w:rsidRPr="001A7FDA">
        <w:rPr>
          <w:rFonts w:ascii="Cambria" w:hAnsi="Cambria"/>
          <w:i/>
        </w:rPr>
        <w:t>Einverständnis ist alles</w:t>
      </w:r>
      <w:r w:rsidR="009B1F53" w:rsidRPr="00292B5C">
        <w:rPr>
          <w:rFonts w:ascii="Cambria" w:hAnsi="Cambria"/>
        </w:rPr>
        <w:t xml:space="preserve">.“ </w:t>
      </w:r>
    </w:p>
    <w:p w14:paraId="23D278B6" w14:textId="77777777" w:rsidR="001A7FDA" w:rsidRDefault="00811377" w:rsidP="001A7FDA">
      <w:pPr>
        <w:pStyle w:val="Listenabsatz"/>
        <w:spacing w:line="276" w:lineRule="auto"/>
        <w:ind w:left="426"/>
        <w:jc w:val="both"/>
        <w:rPr>
          <w:rFonts w:ascii="Cambria" w:hAnsi="Cambria"/>
        </w:rPr>
      </w:pPr>
      <w:r>
        <w:rPr>
          <w:rFonts w:ascii="Cambria" w:hAnsi="Cambria"/>
        </w:rPr>
        <w:t>A</w:t>
      </w:r>
      <w:r w:rsidR="00AB10C0">
        <w:rPr>
          <w:rFonts w:ascii="Cambria" w:hAnsi="Cambria"/>
        </w:rPr>
        <w:t xml:space="preserve">llerdings </w:t>
      </w:r>
      <w:r>
        <w:rPr>
          <w:rFonts w:ascii="Cambria" w:hAnsi="Cambria"/>
        </w:rPr>
        <w:t xml:space="preserve">gibt es </w:t>
      </w:r>
      <w:r w:rsidR="00AB10C0">
        <w:rPr>
          <w:rFonts w:ascii="Cambria" w:hAnsi="Cambria"/>
        </w:rPr>
        <w:t>auch Handlungen,</w:t>
      </w:r>
      <w:r>
        <w:rPr>
          <w:rFonts w:ascii="Cambria" w:hAnsi="Cambria"/>
        </w:rPr>
        <w:t xml:space="preserve"> bei</w:t>
      </w:r>
      <w:r w:rsidR="00AB10C0">
        <w:rPr>
          <w:rFonts w:ascii="Cambria" w:hAnsi="Cambria"/>
        </w:rPr>
        <w:t xml:space="preserve"> denen </w:t>
      </w:r>
      <w:r>
        <w:rPr>
          <w:rFonts w:ascii="Cambria" w:hAnsi="Cambria"/>
        </w:rPr>
        <w:t xml:space="preserve">es </w:t>
      </w:r>
      <w:r w:rsidR="00AB10C0">
        <w:rPr>
          <w:rFonts w:ascii="Cambria" w:hAnsi="Cambria"/>
        </w:rPr>
        <w:t xml:space="preserve">gar </w:t>
      </w:r>
      <w:r>
        <w:rPr>
          <w:rFonts w:ascii="Cambria" w:hAnsi="Cambria"/>
        </w:rPr>
        <w:t>nicht nötig ist, dass die betroffene Person in sie einwilligt</w:t>
      </w:r>
      <w:r w:rsidR="00AB10C0">
        <w:rPr>
          <w:rFonts w:ascii="Cambria" w:hAnsi="Cambria"/>
        </w:rPr>
        <w:t xml:space="preserve">. </w:t>
      </w:r>
    </w:p>
    <w:p w14:paraId="2A361DEF" w14:textId="7F5CBD2E" w:rsidR="00F60345" w:rsidRDefault="00AB10C0" w:rsidP="001A7FDA">
      <w:pPr>
        <w:pStyle w:val="Listenabsatz"/>
        <w:spacing w:line="276" w:lineRule="auto"/>
        <w:ind w:left="426"/>
        <w:jc w:val="both"/>
        <w:rPr>
          <w:rFonts w:ascii="Cambria" w:hAnsi="Cambria"/>
        </w:rPr>
      </w:pPr>
      <w:r w:rsidRPr="00811377">
        <w:rPr>
          <w:rFonts w:ascii="Cambria" w:hAnsi="Cambria"/>
        </w:rPr>
        <w:t xml:space="preserve">(a) Diskutiert, inwiefern bei den folgenden Beispielen Einwilligung nötig ist </w:t>
      </w:r>
      <w:r w:rsidR="00070896" w:rsidRPr="00811377">
        <w:rPr>
          <w:rFonts w:ascii="Cambria" w:hAnsi="Cambria"/>
        </w:rPr>
        <w:t xml:space="preserve">und sucht nach Begründungen für eure </w:t>
      </w:r>
      <w:r w:rsidR="005F04F3">
        <w:rPr>
          <w:rFonts w:ascii="Cambria" w:hAnsi="Cambria"/>
        </w:rPr>
        <w:t>Urteile</w:t>
      </w:r>
      <w:r w:rsidR="00070896" w:rsidRPr="00811377">
        <w:rPr>
          <w:rFonts w:ascii="Cambria" w:hAnsi="Cambria"/>
        </w:rPr>
        <w:t xml:space="preserve">. </w:t>
      </w:r>
    </w:p>
    <w:p w14:paraId="4D85C396" w14:textId="77777777" w:rsidR="00105A3C" w:rsidRPr="00105A3C" w:rsidRDefault="00105A3C" w:rsidP="00105A3C">
      <w:pPr>
        <w:pStyle w:val="Listenabsatz"/>
        <w:spacing w:line="276" w:lineRule="auto"/>
        <w:ind w:left="426"/>
        <w:jc w:val="both"/>
        <w:rPr>
          <w:rFonts w:ascii="Cambria" w:hAnsi="Cambria"/>
        </w:rPr>
      </w:pPr>
    </w:p>
    <w:tbl>
      <w:tblPr>
        <w:tblStyle w:val="Tabellenraster"/>
        <w:tblW w:w="9209" w:type="dxa"/>
        <w:tblLook w:val="04A0" w:firstRow="1" w:lastRow="0" w:firstColumn="1" w:lastColumn="0" w:noHBand="0" w:noVBand="1"/>
      </w:tblPr>
      <w:tblGrid>
        <w:gridCol w:w="1936"/>
        <w:gridCol w:w="1411"/>
        <w:gridCol w:w="1610"/>
        <w:gridCol w:w="1559"/>
        <w:gridCol w:w="2693"/>
      </w:tblGrid>
      <w:tr w:rsidR="00811377" w:rsidRPr="00D56588" w14:paraId="451F30B8" w14:textId="0A168495" w:rsidTr="00452959">
        <w:tc>
          <w:tcPr>
            <w:tcW w:w="1936" w:type="dxa"/>
            <w:shd w:val="clear" w:color="auto" w:fill="D9D9D9" w:themeFill="background1" w:themeFillShade="D9"/>
          </w:tcPr>
          <w:p w14:paraId="04B6366D" w14:textId="136DAEA1" w:rsidR="00070896" w:rsidRPr="00D56588" w:rsidRDefault="00070896" w:rsidP="00811377">
            <w:pPr>
              <w:spacing w:line="276" w:lineRule="auto"/>
              <w:rPr>
                <w:rFonts w:ascii="Cambria" w:hAnsi="Cambria"/>
                <w:sz w:val="20"/>
                <w:szCs w:val="20"/>
              </w:rPr>
            </w:pPr>
          </w:p>
          <w:p w14:paraId="1A66132F" w14:textId="77777777" w:rsidR="00070896" w:rsidRPr="00D56588" w:rsidRDefault="00070896" w:rsidP="00811377">
            <w:pPr>
              <w:pStyle w:val="Listenabsatz"/>
              <w:spacing w:line="276" w:lineRule="auto"/>
              <w:ind w:left="0"/>
              <w:rPr>
                <w:rFonts w:ascii="Cambria" w:hAnsi="Cambria"/>
                <w:sz w:val="20"/>
                <w:szCs w:val="20"/>
              </w:rPr>
            </w:pPr>
          </w:p>
        </w:tc>
        <w:tc>
          <w:tcPr>
            <w:tcW w:w="1411" w:type="dxa"/>
            <w:shd w:val="clear" w:color="auto" w:fill="D9D9D9" w:themeFill="background1" w:themeFillShade="D9"/>
          </w:tcPr>
          <w:p w14:paraId="58FAA207" w14:textId="3312D468" w:rsidR="00070896" w:rsidRPr="00D56588" w:rsidRDefault="00070896" w:rsidP="00811377">
            <w:pPr>
              <w:pStyle w:val="Listenabsatz"/>
              <w:spacing w:line="276" w:lineRule="auto"/>
              <w:ind w:left="0"/>
              <w:rPr>
                <w:rFonts w:ascii="Cambria" w:hAnsi="Cambria"/>
                <w:b/>
                <w:sz w:val="20"/>
                <w:szCs w:val="20"/>
              </w:rPr>
            </w:pPr>
            <w:r w:rsidRPr="00D56588">
              <w:rPr>
                <w:rFonts w:ascii="Cambria" w:hAnsi="Cambria"/>
                <w:b/>
                <w:sz w:val="20"/>
                <w:szCs w:val="20"/>
              </w:rPr>
              <w:t>Einwilligung</w:t>
            </w:r>
            <w:r w:rsidR="00811377" w:rsidRPr="00D56588">
              <w:rPr>
                <w:rFonts w:ascii="Cambria" w:hAnsi="Cambria"/>
                <w:b/>
                <w:sz w:val="20"/>
                <w:szCs w:val="20"/>
              </w:rPr>
              <w:t xml:space="preserve"> ist</w:t>
            </w:r>
            <w:r w:rsidRPr="00D56588">
              <w:rPr>
                <w:rFonts w:ascii="Cambria" w:hAnsi="Cambria"/>
                <w:b/>
                <w:sz w:val="20"/>
                <w:szCs w:val="20"/>
              </w:rPr>
              <w:t xml:space="preserve"> nötig</w:t>
            </w:r>
          </w:p>
        </w:tc>
        <w:tc>
          <w:tcPr>
            <w:tcW w:w="1610" w:type="dxa"/>
            <w:shd w:val="clear" w:color="auto" w:fill="D9D9D9" w:themeFill="background1" w:themeFillShade="D9"/>
          </w:tcPr>
          <w:p w14:paraId="2226C9FA" w14:textId="228A1320" w:rsidR="00070896" w:rsidRPr="00D56588" w:rsidRDefault="00070896" w:rsidP="00811377">
            <w:pPr>
              <w:pStyle w:val="Listenabsatz"/>
              <w:spacing w:line="276" w:lineRule="auto"/>
              <w:ind w:left="0"/>
              <w:rPr>
                <w:rFonts w:ascii="Cambria" w:hAnsi="Cambria"/>
                <w:b/>
                <w:sz w:val="20"/>
                <w:szCs w:val="20"/>
              </w:rPr>
            </w:pPr>
            <w:r w:rsidRPr="00D56588">
              <w:rPr>
                <w:rFonts w:ascii="Cambria" w:hAnsi="Cambria"/>
                <w:b/>
                <w:sz w:val="20"/>
                <w:szCs w:val="20"/>
              </w:rPr>
              <w:t>Einwilligung</w:t>
            </w:r>
            <w:r w:rsidR="00811377" w:rsidRPr="00D56588">
              <w:rPr>
                <w:rFonts w:ascii="Cambria" w:hAnsi="Cambria"/>
                <w:b/>
                <w:sz w:val="20"/>
                <w:szCs w:val="20"/>
              </w:rPr>
              <w:t xml:space="preserve"> ist</w:t>
            </w:r>
            <w:r w:rsidRPr="00D56588">
              <w:rPr>
                <w:rFonts w:ascii="Cambria" w:hAnsi="Cambria"/>
                <w:b/>
                <w:sz w:val="20"/>
                <w:szCs w:val="20"/>
              </w:rPr>
              <w:t xml:space="preserve"> nicht nötig</w:t>
            </w:r>
          </w:p>
        </w:tc>
        <w:tc>
          <w:tcPr>
            <w:tcW w:w="1559" w:type="dxa"/>
            <w:shd w:val="clear" w:color="auto" w:fill="D9D9D9" w:themeFill="background1" w:themeFillShade="D9"/>
          </w:tcPr>
          <w:p w14:paraId="3E73F6A5" w14:textId="089CFD6F" w:rsidR="00070896" w:rsidRPr="00D56588" w:rsidRDefault="00070896" w:rsidP="00811377">
            <w:pPr>
              <w:pStyle w:val="Listenabsatz"/>
              <w:spacing w:line="276" w:lineRule="auto"/>
              <w:ind w:left="0"/>
              <w:rPr>
                <w:rFonts w:ascii="Cambria" w:hAnsi="Cambria"/>
                <w:b/>
                <w:sz w:val="20"/>
                <w:szCs w:val="20"/>
              </w:rPr>
            </w:pPr>
            <w:r w:rsidRPr="00D56588">
              <w:rPr>
                <w:rFonts w:ascii="Cambria" w:hAnsi="Cambria"/>
                <w:b/>
                <w:sz w:val="20"/>
                <w:szCs w:val="20"/>
              </w:rPr>
              <w:t>unklar</w:t>
            </w:r>
            <w:r w:rsidR="00811377" w:rsidRPr="00D56588">
              <w:rPr>
                <w:rFonts w:ascii="Cambria" w:hAnsi="Cambria"/>
                <w:b/>
                <w:sz w:val="20"/>
                <w:szCs w:val="20"/>
              </w:rPr>
              <w:t>, ob Einwilligung nötig ist</w:t>
            </w:r>
          </w:p>
        </w:tc>
        <w:tc>
          <w:tcPr>
            <w:tcW w:w="2693" w:type="dxa"/>
            <w:shd w:val="clear" w:color="auto" w:fill="D9D9D9" w:themeFill="background1" w:themeFillShade="D9"/>
          </w:tcPr>
          <w:p w14:paraId="1CE90379" w14:textId="69B69CA1" w:rsidR="00070896" w:rsidRPr="00D56588" w:rsidRDefault="00070896" w:rsidP="00811377">
            <w:pPr>
              <w:pStyle w:val="Listenabsatz"/>
              <w:spacing w:line="276" w:lineRule="auto"/>
              <w:ind w:left="0"/>
              <w:rPr>
                <w:rFonts w:ascii="Cambria" w:hAnsi="Cambria"/>
                <w:b/>
                <w:sz w:val="20"/>
                <w:szCs w:val="20"/>
              </w:rPr>
            </w:pPr>
            <w:r w:rsidRPr="00D56588">
              <w:rPr>
                <w:rFonts w:ascii="Cambria" w:hAnsi="Cambria"/>
                <w:b/>
                <w:sz w:val="20"/>
                <w:szCs w:val="20"/>
              </w:rPr>
              <w:t xml:space="preserve">Begründung </w:t>
            </w:r>
          </w:p>
        </w:tc>
      </w:tr>
      <w:tr w:rsidR="00070896" w:rsidRPr="00D56588" w14:paraId="766D254B" w14:textId="32370D67" w:rsidTr="00452959">
        <w:tc>
          <w:tcPr>
            <w:tcW w:w="1936" w:type="dxa"/>
          </w:tcPr>
          <w:p w14:paraId="6B7D4417" w14:textId="71D10B76" w:rsidR="00070896" w:rsidRPr="00D56588" w:rsidRDefault="00070896" w:rsidP="00070896">
            <w:pPr>
              <w:spacing w:line="276" w:lineRule="auto"/>
              <w:rPr>
                <w:rFonts w:ascii="Cambria" w:hAnsi="Cambria"/>
                <w:sz w:val="20"/>
                <w:szCs w:val="20"/>
              </w:rPr>
            </w:pPr>
            <w:r w:rsidRPr="00D56588">
              <w:rPr>
                <w:rFonts w:ascii="Cambria" w:hAnsi="Cambria"/>
                <w:sz w:val="20"/>
                <w:szCs w:val="20"/>
              </w:rPr>
              <w:t>A schneidet B die Haare.</w:t>
            </w:r>
          </w:p>
        </w:tc>
        <w:tc>
          <w:tcPr>
            <w:tcW w:w="1411" w:type="dxa"/>
          </w:tcPr>
          <w:p w14:paraId="66474D75" w14:textId="77777777" w:rsidR="00070896" w:rsidRPr="00D56588" w:rsidRDefault="00070896" w:rsidP="00AB10C0">
            <w:pPr>
              <w:pStyle w:val="Listenabsatz"/>
              <w:spacing w:line="276" w:lineRule="auto"/>
              <w:ind w:left="0"/>
              <w:jc w:val="both"/>
              <w:rPr>
                <w:rFonts w:ascii="Cambria" w:hAnsi="Cambria"/>
                <w:sz w:val="20"/>
                <w:szCs w:val="20"/>
              </w:rPr>
            </w:pPr>
          </w:p>
          <w:p w14:paraId="1BE0BBFA" w14:textId="77777777" w:rsidR="00070896" w:rsidRPr="00D56588" w:rsidRDefault="00070896" w:rsidP="00AB10C0">
            <w:pPr>
              <w:pStyle w:val="Listenabsatz"/>
              <w:spacing w:line="276" w:lineRule="auto"/>
              <w:ind w:left="0"/>
              <w:jc w:val="both"/>
              <w:rPr>
                <w:rFonts w:ascii="Cambria" w:hAnsi="Cambria"/>
                <w:sz w:val="20"/>
                <w:szCs w:val="20"/>
              </w:rPr>
            </w:pPr>
          </w:p>
          <w:p w14:paraId="3892414E" w14:textId="77777777" w:rsidR="00236199" w:rsidRPr="00D56588" w:rsidRDefault="00236199" w:rsidP="00AB10C0">
            <w:pPr>
              <w:pStyle w:val="Listenabsatz"/>
              <w:spacing w:line="276" w:lineRule="auto"/>
              <w:ind w:left="0"/>
              <w:jc w:val="both"/>
              <w:rPr>
                <w:rFonts w:ascii="Cambria" w:hAnsi="Cambria"/>
                <w:sz w:val="20"/>
                <w:szCs w:val="20"/>
              </w:rPr>
            </w:pPr>
          </w:p>
          <w:p w14:paraId="3FAA29DB" w14:textId="3B048C97" w:rsidR="00811377" w:rsidRPr="00D56588" w:rsidRDefault="00811377" w:rsidP="00AB10C0">
            <w:pPr>
              <w:pStyle w:val="Listenabsatz"/>
              <w:spacing w:line="276" w:lineRule="auto"/>
              <w:ind w:left="0"/>
              <w:jc w:val="both"/>
              <w:rPr>
                <w:rFonts w:ascii="Cambria" w:hAnsi="Cambria"/>
                <w:sz w:val="20"/>
                <w:szCs w:val="20"/>
              </w:rPr>
            </w:pPr>
          </w:p>
        </w:tc>
        <w:tc>
          <w:tcPr>
            <w:tcW w:w="1610" w:type="dxa"/>
          </w:tcPr>
          <w:p w14:paraId="7E14938B"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3BC611E6"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0509F719" w14:textId="77777777" w:rsidR="00070896" w:rsidRPr="00D56588" w:rsidRDefault="00070896" w:rsidP="00AB10C0">
            <w:pPr>
              <w:pStyle w:val="Listenabsatz"/>
              <w:spacing w:line="276" w:lineRule="auto"/>
              <w:ind w:left="0"/>
              <w:jc w:val="both"/>
              <w:rPr>
                <w:rFonts w:ascii="Cambria" w:hAnsi="Cambria"/>
                <w:sz w:val="20"/>
                <w:szCs w:val="20"/>
              </w:rPr>
            </w:pPr>
          </w:p>
        </w:tc>
      </w:tr>
      <w:tr w:rsidR="00070896" w:rsidRPr="00D56588" w14:paraId="48417BC1" w14:textId="6A5922EA" w:rsidTr="00452959">
        <w:tc>
          <w:tcPr>
            <w:tcW w:w="1936" w:type="dxa"/>
          </w:tcPr>
          <w:p w14:paraId="589CE5D3" w14:textId="09B334FD" w:rsidR="00070896" w:rsidRPr="00D56588" w:rsidRDefault="00070896" w:rsidP="00811377">
            <w:pPr>
              <w:spacing w:line="276" w:lineRule="auto"/>
              <w:rPr>
                <w:rFonts w:ascii="Cambria" w:hAnsi="Cambria"/>
                <w:sz w:val="20"/>
                <w:szCs w:val="20"/>
              </w:rPr>
            </w:pPr>
            <w:r w:rsidRPr="00D56588">
              <w:rPr>
                <w:rFonts w:ascii="Cambria" w:hAnsi="Cambria"/>
                <w:sz w:val="20"/>
                <w:szCs w:val="20"/>
              </w:rPr>
              <w:t xml:space="preserve">A schubst B </w:t>
            </w:r>
            <w:r w:rsidR="00BA7F83" w:rsidRPr="00D56588">
              <w:rPr>
                <w:rFonts w:ascii="Cambria" w:hAnsi="Cambria"/>
                <w:sz w:val="20"/>
                <w:szCs w:val="20"/>
              </w:rPr>
              <w:t>von der Straße</w:t>
            </w:r>
            <w:r w:rsidRPr="00D56588">
              <w:rPr>
                <w:rFonts w:ascii="Cambria" w:hAnsi="Cambria"/>
                <w:sz w:val="20"/>
                <w:szCs w:val="20"/>
              </w:rPr>
              <w:t xml:space="preserve">, weil gerade ein Bus vorbeifährt. </w:t>
            </w:r>
          </w:p>
        </w:tc>
        <w:tc>
          <w:tcPr>
            <w:tcW w:w="1411" w:type="dxa"/>
          </w:tcPr>
          <w:p w14:paraId="65EC76F9" w14:textId="77777777" w:rsidR="00070896" w:rsidRDefault="00070896" w:rsidP="00AB10C0">
            <w:pPr>
              <w:pStyle w:val="Listenabsatz"/>
              <w:spacing w:line="276" w:lineRule="auto"/>
              <w:ind w:left="0"/>
              <w:jc w:val="both"/>
              <w:rPr>
                <w:rFonts w:ascii="Cambria" w:hAnsi="Cambria"/>
                <w:sz w:val="20"/>
                <w:szCs w:val="20"/>
              </w:rPr>
            </w:pPr>
          </w:p>
          <w:p w14:paraId="148A63CF" w14:textId="77777777" w:rsidR="00D56588" w:rsidRDefault="00D56588" w:rsidP="00AB10C0">
            <w:pPr>
              <w:pStyle w:val="Listenabsatz"/>
              <w:spacing w:line="276" w:lineRule="auto"/>
              <w:ind w:left="0"/>
              <w:jc w:val="both"/>
              <w:rPr>
                <w:rFonts w:ascii="Cambria" w:hAnsi="Cambria"/>
                <w:sz w:val="20"/>
                <w:szCs w:val="20"/>
              </w:rPr>
            </w:pPr>
          </w:p>
          <w:p w14:paraId="1F177D08" w14:textId="77777777" w:rsidR="00D56588" w:rsidRDefault="00D56588" w:rsidP="00AB10C0">
            <w:pPr>
              <w:pStyle w:val="Listenabsatz"/>
              <w:spacing w:line="276" w:lineRule="auto"/>
              <w:ind w:left="0"/>
              <w:jc w:val="both"/>
              <w:rPr>
                <w:rFonts w:ascii="Cambria" w:hAnsi="Cambria"/>
                <w:sz w:val="20"/>
                <w:szCs w:val="20"/>
              </w:rPr>
            </w:pPr>
          </w:p>
          <w:p w14:paraId="1629A779" w14:textId="1C23A902" w:rsidR="00D56588" w:rsidRPr="00D56588" w:rsidRDefault="00D56588" w:rsidP="00AB10C0">
            <w:pPr>
              <w:pStyle w:val="Listenabsatz"/>
              <w:spacing w:line="276" w:lineRule="auto"/>
              <w:ind w:left="0"/>
              <w:jc w:val="both"/>
              <w:rPr>
                <w:rFonts w:ascii="Cambria" w:hAnsi="Cambria"/>
                <w:sz w:val="20"/>
                <w:szCs w:val="20"/>
              </w:rPr>
            </w:pPr>
          </w:p>
        </w:tc>
        <w:tc>
          <w:tcPr>
            <w:tcW w:w="1610" w:type="dxa"/>
          </w:tcPr>
          <w:p w14:paraId="570A7BF0"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56607406"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789D6AFB" w14:textId="77777777" w:rsidR="00070896" w:rsidRPr="00D56588" w:rsidRDefault="00070896" w:rsidP="00AB10C0">
            <w:pPr>
              <w:pStyle w:val="Listenabsatz"/>
              <w:spacing w:line="276" w:lineRule="auto"/>
              <w:ind w:left="0"/>
              <w:jc w:val="both"/>
              <w:rPr>
                <w:rFonts w:ascii="Cambria" w:hAnsi="Cambria"/>
                <w:sz w:val="20"/>
                <w:szCs w:val="20"/>
              </w:rPr>
            </w:pPr>
          </w:p>
        </w:tc>
      </w:tr>
      <w:tr w:rsidR="00070896" w:rsidRPr="00D56588" w14:paraId="2AE0B162" w14:textId="4A1E28AD" w:rsidTr="00452959">
        <w:tc>
          <w:tcPr>
            <w:tcW w:w="1936" w:type="dxa"/>
          </w:tcPr>
          <w:p w14:paraId="775D828F" w14:textId="77777777" w:rsidR="00070896" w:rsidRPr="00D56588" w:rsidRDefault="00070896" w:rsidP="00070896">
            <w:pPr>
              <w:spacing w:line="276" w:lineRule="auto"/>
              <w:rPr>
                <w:rFonts w:ascii="Cambria" w:hAnsi="Cambria"/>
                <w:sz w:val="20"/>
                <w:szCs w:val="20"/>
              </w:rPr>
            </w:pPr>
            <w:r w:rsidRPr="00D56588">
              <w:rPr>
                <w:rFonts w:ascii="Cambria" w:hAnsi="Cambria"/>
                <w:sz w:val="20"/>
                <w:szCs w:val="20"/>
              </w:rPr>
              <w:t xml:space="preserve">A nimmt B Blut ab. </w:t>
            </w:r>
          </w:p>
          <w:p w14:paraId="13358597" w14:textId="77777777" w:rsidR="00070896" w:rsidRPr="00D56588" w:rsidRDefault="00070896" w:rsidP="00070896">
            <w:pPr>
              <w:pStyle w:val="Listenabsatz"/>
              <w:spacing w:line="276" w:lineRule="auto"/>
              <w:ind w:left="0"/>
              <w:rPr>
                <w:rFonts w:ascii="Cambria" w:hAnsi="Cambria"/>
                <w:sz w:val="20"/>
                <w:szCs w:val="20"/>
              </w:rPr>
            </w:pPr>
          </w:p>
        </w:tc>
        <w:tc>
          <w:tcPr>
            <w:tcW w:w="1411" w:type="dxa"/>
          </w:tcPr>
          <w:p w14:paraId="22C6FFCF" w14:textId="77777777" w:rsidR="00070896" w:rsidRPr="00D56588" w:rsidRDefault="00070896" w:rsidP="00AB10C0">
            <w:pPr>
              <w:pStyle w:val="Listenabsatz"/>
              <w:spacing w:line="276" w:lineRule="auto"/>
              <w:ind w:left="0"/>
              <w:jc w:val="both"/>
              <w:rPr>
                <w:rFonts w:ascii="Cambria" w:hAnsi="Cambria"/>
                <w:sz w:val="20"/>
                <w:szCs w:val="20"/>
              </w:rPr>
            </w:pPr>
          </w:p>
          <w:p w14:paraId="74468612" w14:textId="77777777" w:rsidR="00236199" w:rsidRPr="00D56588" w:rsidRDefault="00236199" w:rsidP="00AB10C0">
            <w:pPr>
              <w:pStyle w:val="Listenabsatz"/>
              <w:spacing w:line="276" w:lineRule="auto"/>
              <w:ind w:left="0"/>
              <w:jc w:val="both"/>
              <w:rPr>
                <w:rFonts w:ascii="Cambria" w:hAnsi="Cambria"/>
                <w:sz w:val="20"/>
                <w:szCs w:val="20"/>
              </w:rPr>
            </w:pPr>
          </w:p>
          <w:p w14:paraId="780180E9" w14:textId="77777777" w:rsidR="00236199" w:rsidRPr="00D56588" w:rsidRDefault="00236199" w:rsidP="00AB10C0">
            <w:pPr>
              <w:pStyle w:val="Listenabsatz"/>
              <w:spacing w:line="276" w:lineRule="auto"/>
              <w:ind w:left="0"/>
              <w:jc w:val="both"/>
              <w:rPr>
                <w:rFonts w:ascii="Cambria" w:hAnsi="Cambria"/>
                <w:sz w:val="20"/>
                <w:szCs w:val="20"/>
              </w:rPr>
            </w:pPr>
          </w:p>
          <w:p w14:paraId="0752A99B" w14:textId="5DE01138" w:rsidR="00811377" w:rsidRPr="00D56588" w:rsidRDefault="00811377" w:rsidP="00AB10C0">
            <w:pPr>
              <w:pStyle w:val="Listenabsatz"/>
              <w:spacing w:line="276" w:lineRule="auto"/>
              <w:ind w:left="0"/>
              <w:jc w:val="both"/>
              <w:rPr>
                <w:rFonts w:ascii="Cambria" w:hAnsi="Cambria"/>
                <w:sz w:val="20"/>
                <w:szCs w:val="20"/>
              </w:rPr>
            </w:pPr>
          </w:p>
        </w:tc>
        <w:tc>
          <w:tcPr>
            <w:tcW w:w="1610" w:type="dxa"/>
          </w:tcPr>
          <w:p w14:paraId="0941582F"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1007A1AB"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020B5AAE" w14:textId="77777777" w:rsidR="00070896" w:rsidRPr="00D56588" w:rsidRDefault="00070896" w:rsidP="00AB10C0">
            <w:pPr>
              <w:pStyle w:val="Listenabsatz"/>
              <w:spacing w:line="276" w:lineRule="auto"/>
              <w:ind w:left="0"/>
              <w:jc w:val="both"/>
              <w:rPr>
                <w:rFonts w:ascii="Cambria" w:hAnsi="Cambria"/>
                <w:sz w:val="20"/>
                <w:szCs w:val="20"/>
              </w:rPr>
            </w:pPr>
          </w:p>
        </w:tc>
      </w:tr>
      <w:tr w:rsidR="00070896" w:rsidRPr="00D56588" w14:paraId="1202065B" w14:textId="08A272EC" w:rsidTr="00452959">
        <w:tc>
          <w:tcPr>
            <w:tcW w:w="1936" w:type="dxa"/>
          </w:tcPr>
          <w:p w14:paraId="0901B9D2" w14:textId="31039BFE" w:rsidR="00070896" w:rsidRPr="00D56588" w:rsidRDefault="00070896" w:rsidP="00070896">
            <w:pPr>
              <w:pStyle w:val="Listenabsatz"/>
              <w:spacing w:line="276" w:lineRule="auto"/>
              <w:ind w:left="0"/>
              <w:rPr>
                <w:rFonts w:ascii="Cambria" w:hAnsi="Cambria"/>
                <w:sz w:val="20"/>
                <w:szCs w:val="20"/>
              </w:rPr>
            </w:pPr>
            <w:r w:rsidRPr="00D56588">
              <w:rPr>
                <w:rFonts w:ascii="Cambria" w:hAnsi="Cambria"/>
                <w:sz w:val="20"/>
                <w:szCs w:val="20"/>
              </w:rPr>
              <w:t xml:space="preserve">A nimmt sich kurz </w:t>
            </w:r>
            <w:proofErr w:type="spellStart"/>
            <w:r w:rsidRPr="00D56588">
              <w:rPr>
                <w:rFonts w:ascii="Cambria" w:hAnsi="Cambria"/>
                <w:sz w:val="20"/>
                <w:szCs w:val="20"/>
              </w:rPr>
              <w:t>Bs</w:t>
            </w:r>
            <w:proofErr w:type="spellEnd"/>
            <w:r w:rsidRPr="00D56588">
              <w:rPr>
                <w:rFonts w:ascii="Cambria" w:hAnsi="Cambria"/>
                <w:sz w:val="20"/>
                <w:szCs w:val="20"/>
              </w:rPr>
              <w:t xml:space="preserve"> Radiergummi und legt es wieder zurück.</w:t>
            </w:r>
          </w:p>
        </w:tc>
        <w:tc>
          <w:tcPr>
            <w:tcW w:w="1411" w:type="dxa"/>
          </w:tcPr>
          <w:p w14:paraId="22427021" w14:textId="77777777" w:rsidR="00070896" w:rsidRPr="00D56588" w:rsidRDefault="00070896" w:rsidP="00AB10C0">
            <w:pPr>
              <w:pStyle w:val="Listenabsatz"/>
              <w:spacing w:line="276" w:lineRule="auto"/>
              <w:ind w:left="0"/>
              <w:jc w:val="both"/>
              <w:rPr>
                <w:rFonts w:ascii="Cambria" w:hAnsi="Cambria"/>
                <w:sz w:val="20"/>
                <w:szCs w:val="20"/>
              </w:rPr>
            </w:pPr>
          </w:p>
        </w:tc>
        <w:tc>
          <w:tcPr>
            <w:tcW w:w="1610" w:type="dxa"/>
          </w:tcPr>
          <w:p w14:paraId="69D4565C"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00925FDE"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5B1F7392" w14:textId="77777777" w:rsidR="00070896" w:rsidRPr="00D56588" w:rsidRDefault="00070896" w:rsidP="00AB10C0">
            <w:pPr>
              <w:pStyle w:val="Listenabsatz"/>
              <w:spacing w:line="276" w:lineRule="auto"/>
              <w:ind w:left="0"/>
              <w:jc w:val="both"/>
              <w:rPr>
                <w:rFonts w:ascii="Cambria" w:hAnsi="Cambria"/>
                <w:sz w:val="20"/>
                <w:szCs w:val="20"/>
              </w:rPr>
            </w:pPr>
          </w:p>
        </w:tc>
      </w:tr>
      <w:tr w:rsidR="00070896" w:rsidRPr="00D56588" w14:paraId="785F9B1F" w14:textId="60A17C79" w:rsidTr="00452959">
        <w:tc>
          <w:tcPr>
            <w:tcW w:w="1936" w:type="dxa"/>
          </w:tcPr>
          <w:p w14:paraId="72BA78FE" w14:textId="32E62982" w:rsidR="00070896" w:rsidRPr="00D56588" w:rsidRDefault="00070896" w:rsidP="00070896">
            <w:pPr>
              <w:pStyle w:val="Listenabsatz"/>
              <w:spacing w:line="276" w:lineRule="auto"/>
              <w:ind w:left="0"/>
              <w:rPr>
                <w:rFonts w:ascii="Cambria" w:hAnsi="Cambria"/>
                <w:sz w:val="20"/>
                <w:szCs w:val="20"/>
              </w:rPr>
            </w:pPr>
            <w:r w:rsidRPr="00D56588">
              <w:rPr>
                <w:rFonts w:ascii="Cambria" w:hAnsi="Cambria"/>
                <w:sz w:val="20"/>
                <w:szCs w:val="20"/>
              </w:rPr>
              <w:t>A stellt sich hinter B in einer Schlange an.</w:t>
            </w:r>
          </w:p>
        </w:tc>
        <w:tc>
          <w:tcPr>
            <w:tcW w:w="1411" w:type="dxa"/>
          </w:tcPr>
          <w:p w14:paraId="69E85C11" w14:textId="77777777" w:rsidR="00070896" w:rsidRPr="00D56588" w:rsidRDefault="00070896" w:rsidP="00AB10C0">
            <w:pPr>
              <w:pStyle w:val="Listenabsatz"/>
              <w:spacing w:line="276" w:lineRule="auto"/>
              <w:ind w:left="0"/>
              <w:jc w:val="both"/>
              <w:rPr>
                <w:rFonts w:ascii="Cambria" w:hAnsi="Cambria"/>
                <w:sz w:val="20"/>
                <w:szCs w:val="20"/>
              </w:rPr>
            </w:pPr>
          </w:p>
          <w:p w14:paraId="133391F4" w14:textId="77777777" w:rsidR="00811377" w:rsidRPr="00D56588" w:rsidRDefault="00811377" w:rsidP="00AB10C0">
            <w:pPr>
              <w:pStyle w:val="Listenabsatz"/>
              <w:spacing w:line="276" w:lineRule="auto"/>
              <w:ind w:left="0"/>
              <w:jc w:val="both"/>
              <w:rPr>
                <w:rFonts w:ascii="Cambria" w:hAnsi="Cambria"/>
                <w:sz w:val="20"/>
                <w:szCs w:val="20"/>
              </w:rPr>
            </w:pPr>
          </w:p>
          <w:p w14:paraId="1F45ACD5" w14:textId="77777777" w:rsidR="00811377" w:rsidRPr="00D56588" w:rsidRDefault="00811377" w:rsidP="00AB10C0">
            <w:pPr>
              <w:pStyle w:val="Listenabsatz"/>
              <w:spacing w:line="276" w:lineRule="auto"/>
              <w:ind w:left="0"/>
              <w:jc w:val="both"/>
              <w:rPr>
                <w:rFonts w:ascii="Cambria" w:hAnsi="Cambria"/>
                <w:sz w:val="20"/>
                <w:szCs w:val="20"/>
              </w:rPr>
            </w:pPr>
          </w:p>
          <w:p w14:paraId="76C0A15B" w14:textId="3C72E846" w:rsidR="00811377" w:rsidRPr="00D56588" w:rsidRDefault="00811377" w:rsidP="00AB10C0">
            <w:pPr>
              <w:pStyle w:val="Listenabsatz"/>
              <w:spacing w:line="276" w:lineRule="auto"/>
              <w:ind w:left="0"/>
              <w:jc w:val="both"/>
              <w:rPr>
                <w:rFonts w:ascii="Cambria" w:hAnsi="Cambria"/>
                <w:sz w:val="20"/>
                <w:szCs w:val="20"/>
              </w:rPr>
            </w:pPr>
          </w:p>
        </w:tc>
        <w:tc>
          <w:tcPr>
            <w:tcW w:w="1610" w:type="dxa"/>
          </w:tcPr>
          <w:p w14:paraId="56FB0E47"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32D21EB8"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2E3113B6" w14:textId="77777777" w:rsidR="00070896" w:rsidRPr="00D56588" w:rsidRDefault="00070896" w:rsidP="00AB10C0">
            <w:pPr>
              <w:pStyle w:val="Listenabsatz"/>
              <w:spacing w:line="276" w:lineRule="auto"/>
              <w:ind w:left="0"/>
              <w:jc w:val="both"/>
              <w:rPr>
                <w:rFonts w:ascii="Cambria" w:hAnsi="Cambria"/>
                <w:sz w:val="20"/>
                <w:szCs w:val="20"/>
              </w:rPr>
            </w:pPr>
          </w:p>
        </w:tc>
      </w:tr>
      <w:tr w:rsidR="00070896" w:rsidRPr="00D56588" w14:paraId="4C7AC17D" w14:textId="2BCDFA38" w:rsidTr="00452959">
        <w:tc>
          <w:tcPr>
            <w:tcW w:w="1936" w:type="dxa"/>
          </w:tcPr>
          <w:p w14:paraId="758018EA" w14:textId="2EEA7059" w:rsidR="00070896" w:rsidRPr="00D56588" w:rsidRDefault="00070896" w:rsidP="00070896">
            <w:pPr>
              <w:pStyle w:val="Listenabsatz"/>
              <w:spacing w:line="276" w:lineRule="auto"/>
              <w:ind w:left="0"/>
              <w:rPr>
                <w:rFonts w:ascii="Cambria" w:hAnsi="Cambria"/>
                <w:sz w:val="20"/>
                <w:szCs w:val="20"/>
              </w:rPr>
            </w:pPr>
            <w:r w:rsidRPr="00D56588">
              <w:rPr>
                <w:rFonts w:ascii="Cambria" w:hAnsi="Cambria"/>
                <w:sz w:val="20"/>
                <w:szCs w:val="20"/>
              </w:rPr>
              <w:t>A macht ein Foto von B.</w:t>
            </w:r>
          </w:p>
        </w:tc>
        <w:tc>
          <w:tcPr>
            <w:tcW w:w="1411" w:type="dxa"/>
          </w:tcPr>
          <w:p w14:paraId="6F586942" w14:textId="77777777" w:rsidR="00070896" w:rsidRPr="00D56588" w:rsidRDefault="00070896" w:rsidP="00AB10C0">
            <w:pPr>
              <w:pStyle w:val="Listenabsatz"/>
              <w:spacing w:line="276" w:lineRule="auto"/>
              <w:ind w:left="0"/>
              <w:jc w:val="both"/>
              <w:rPr>
                <w:rFonts w:ascii="Cambria" w:hAnsi="Cambria"/>
                <w:sz w:val="20"/>
                <w:szCs w:val="20"/>
              </w:rPr>
            </w:pPr>
          </w:p>
          <w:p w14:paraId="5E185EE4" w14:textId="3FA21642" w:rsidR="00811377" w:rsidRPr="00D56588" w:rsidRDefault="00811377" w:rsidP="00AB10C0">
            <w:pPr>
              <w:pStyle w:val="Listenabsatz"/>
              <w:spacing w:line="276" w:lineRule="auto"/>
              <w:ind w:left="0"/>
              <w:jc w:val="both"/>
              <w:rPr>
                <w:rFonts w:ascii="Cambria" w:hAnsi="Cambria"/>
                <w:sz w:val="20"/>
                <w:szCs w:val="20"/>
              </w:rPr>
            </w:pPr>
          </w:p>
          <w:p w14:paraId="483CC75B" w14:textId="77777777" w:rsidR="00661798" w:rsidRPr="00D56588" w:rsidRDefault="00661798" w:rsidP="00AB10C0">
            <w:pPr>
              <w:pStyle w:val="Listenabsatz"/>
              <w:spacing w:line="276" w:lineRule="auto"/>
              <w:ind w:left="0"/>
              <w:jc w:val="both"/>
              <w:rPr>
                <w:rFonts w:ascii="Cambria" w:hAnsi="Cambria"/>
                <w:sz w:val="20"/>
                <w:szCs w:val="20"/>
              </w:rPr>
            </w:pPr>
          </w:p>
          <w:p w14:paraId="4E48C9A9" w14:textId="2DCAF4A6" w:rsidR="00811377" w:rsidRPr="00D56588" w:rsidRDefault="00811377" w:rsidP="00AB10C0">
            <w:pPr>
              <w:pStyle w:val="Listenabsatz"/>
              <w:spacing w:line="276" w:lineRule="auto"/>
              <w:ind w:left="0"/>
              <w:jc w:val="both"/>
              <w:rPr>
                <w:rFonts w:ascii="Cambria" w:hAnsi="Cambria"/>
                <w:sz w:val="20"/>
                <w:szCs w:val="20"/>
              </w:rPr>
            </w:pPr>
          </w:p>
        </w:tc>
        <w:tc>
          <w:tcPr>
            <w:tcW w:w="1610" w:type="dxa"/>
          </w:tcPr>
          <w:p w14:paraId="596D2D96" w14:textId="77777777" w:rsidR="00070896" w:rsidRPr="00D56588" w:rsidRDefault="00070896" w:rsidP="00AB10C0">
            <w:pPr>
              <w:pStyle w:val="Listenabsatz"/>
              <w:spacing w:line="276" w:lineRule="auto"/>
              <w:ind w:left="0"/>
              <w:jc w:val="both"/>
              <w:rPr>
                <w:rFonts w:ascii="Cambria" w:hAnsi="Cambria"/>
                <w:sz w:val="20"/>
                <w:szCs w:val="20"/>
              </w:rPr>
            </w:pPr>
          </w:p>
        </w:tc>
        <w:tc>
          <w:tcPr>
            <w:tcW w:w="1559" w:type="dxa"/>
          </w:tcPr>
          <w:p w14:paraId="620AC4AA" w14:textId="77777777" w:rsidR="00070896" w:rsidRPr="00D56588" w:rsidRDefault="00070896" w:rsidP="00AB10C0">
            <w:pPr>
              <w:pStyle w:val="Listenabsatz"/>
              <w:spacing w:line="276" w:lineRule="auto"/>
              <w:ind w:left="0"/>
              <w:jc w:val="both"/>
              <w:rPr>
                <w:rFonts w:ascii="Cambria" w:hAnsi="Cambria"/>
                <w:sz w:val="20"/>
                <w:szCs w:val="20"/>
              </w:rPr>
            </w:pPr>
          </w:p>
        </w:tc>
        <w:tc>
          <w:tcPr>
            <w:tcW w:w="2693" w:type="dxa"/>
          </w:tcPr>
          <w:p w14:paraId="18050CAA" w14:textId="77777777" w:rsidR="00070896" w:rsidRPr="00D56588" w:rsidRDefault="00070896" w:rsidP="00AB10C0">
            <w:pPr>
              <w:pStyle w:val="Listenabsatz"/>
              <w:spacing w:line="276" w:lineRule="auto"/>
              <w:ind w:left="0"/>
              <w:jc w:val="both"/>
              <w:rPr>
                <w:rFonts w:ascii="Cambria" w:hAnsi="Cambria"/>
                <w:sz w:val="20"/>
                <w:szCs w:val="20"/>
              </w:rPr>
            </w:pPr>
          </w:p>
        </w:tc>
      </w:tr>
    </w:tbl>
    <w:p w14:paraId="06156539" w14:textId="4DD8615F" w:rsidR="00070896" w:rsidRPr="00661798" w:rsidRDefault="00AB10C0" w:rsidP="00D07B66">
      <w:pPr>
        <w:spacing w:line="276" w:lineRule="auto"/>
        <w:ind w:left="426"/>
        <w:jc w:val="both"/>
        <w:rPr>
          <w:rFonts w:ascii="Cambria" w:hAnsi="Cambria"/>
        </w:rPr>
      </w:pPr>
      <w:r w:rsidRPr="00661798">
        <w:rPr>
          <w:rFonts w:ascii="Cambria" w:hAnsi="Cambria"/>
        </w:rPr>
        <w:lastRenderedPageBreak/>
        <w:t xml:space="preserve">(b) </w:t>
      </w:r>
      <w:r w:rsidR="00070896" w:rsidRPr="00661798">
        <w:rPr>
          <w:rFonts w:ascii="Cambria" w:hAnsi="Cambria"/>
        </w:rPr>
        <w:t>Formuliert vor dem Hintergrund der</w:t>
      </w:r>
      <w:r w:rsidR="00661798">
        <w:rPr>
          <w:rFonts w:ascii="Cambria" w:hAnsi="Cambria"/>
        </w:rPr>
        <w:t xml:space="preserve"> in der </w:t>
      </w:r>
      <w:r w:rsidR="00070896" w:rsidRPr="00661798">
        <w:rPr>
          <w:rFonts w:ascii="Cambria" w:hAnsi="Cambria"/>
        </w:rPr>
        <w:t xml:space="preserve">Tabelle </w:t>
      </w:r>
      <w:r w:rsidR="00661798">
        <w:rPr>
          <w:rFonts w:ascii="Cambria" w:hAnsi="Cambria"/>
        </w:rPr>
        <w:t xml:space="preserve">gesammelten Ergebnisse </w:t>
      </w:r>
      <w:r w:rsidR="00070896" w:rsidRPr="00661798">
        <w:rPr>
          <w:rFonts w:ascii="Cambria" w:hAnsi="Cambria"/>
        </w:rPr>
        <w:t xml:space="preserve">eine These dazu, wann Einwilligung nötig ist und wann nicht, indem ihr den folgenden Satz ergänzt:  </w:t>
      </w:r>
    </w:p>
    <w:p w14:paraId="6507A8F8" w14:textId="71EA1B4A" w:rsidR="00070896" w:rsidRPr="00070896" w:rsidRDefault="00070896" w:rsidP="00070896">
      <w:pPr>
        <w:spacing w:line="276" w:lineRule="auto"/>
        <w:jc w:val="both"/>
        <w:rPr>
          <w:rFonts w:ascii="Cambria" w:hAnsi="Cambria"/>
        </w:rPr>
      </w:pPr>
    </w:p>
    <w:p w14:paraId="7B32FAD3" w14:textId="028CF176" w:rsidR="00070896" w:rsidRPr="00661798" w:rsidRDefault="00070896" w:rsidP="00661798">
      <w:pPr>
        <w:pStyle w:val="Listenabsatz"/>
        <w:spacing w:line="276" w:lineRule="auto"/>
        <w:ind w:left="426"/>
        <w:jc w:val="both"/>
        <w:rPr>
          <w:rFonts w:ascii="Cambria" w:hAnsi="Cambria"/>
          <w:i/>
        </w:rPr>
      </w:pPr>
      <w:r w:rsidRPr="00070896">
        <w:rPr>
          <w:rFonts w:ascii="Cambria" w:hAnsi="Cambria"/>
          <w:i/>
        </w:rPr>
        <w:t xml:space="preserve">Einwilligung ist genau dann nötig, wenn ... </w:t>
      </w:r>
    </w:p>
    <w:p w14:paraId="0E27B00A" w14:textId="77777777" w:rsidR="009B1F53" w:rsidRDefault="009B1F53" w:rsidP="00F42105">
      <w:pPr>
        <w:spacing w:line="276" w:lineRule="auto"/>
        <w:jc w:val="both"/>
        <w:rPr>
          <w:rFonts w:ascii="Cambria" w:hAnsi="Cambria"/>
        </w:rPr>
      </w:pPr>
    </w:p>
    <w:p w14:paraId="12869E37" w14:textId="77777777" w:rsidR="00661798" w:rsidRDefault="00661798" w:rsidP="00F42105">
      <w:pPr>
        <w:spacing w:line="276" w:lineRule="auto"/>
        <w:jc w:val="both"/>
        <w:rPr>
          <w:rFonts w:ascii="Cambria" w:hAnsi="Cambria"/>
          <w:b/>
        </w:rPr>
        <w:sectPr w:rsidR="00661798" w:rsidSect="004B4725">
          <w:pgSz w:w="11900" w:h="16840"/>
          <w:pgMar w:top="1417" w:right="1417" w:bottom="1134" w:left="1417" w:header="708" w:footer="708" w:gutter="0"/>
          <w:cols w:space="708"/>
          <w:docGrid w:linePitch="360"/>
        </w:sectPr>
      </w:pPr>
    </w:p>
    <w:p w14:paraId="4337F446" w14:textId="38BF0098" w:rsidR="004F747E" w:rsidRPr="004F747E" w:rsidRDefault="004F747E" w:rsidP="00F42105">
      <w:pPr>
        <w:spacing w:line="276" w:lineRule="auto"/>
        <w:jc w:val="both"/>
        <w:rPr>
          <w:rFonts w:ascii="Cambria" w:hAnsi="Cambria"/>
          <w:b/>
        </w:rPr>
      </w:pPr>
      <w:r w:rsidRPr="004F747E">
        <w:rPr>
          <w:rFonts w:ascii="Cambria" w:hAnsi="Cambria"/>
          <w:b/>
        </w:rPr>
        <w:lastRenderedPageBreak/>
        <w:t xml:space="preserve">M2 Was ist Einwilligung und wann ist sie gültig? </w:t>
      </w:r>
    </w:p>
    <w:p w14:paraId="3DEEC669" w14:textId="77777777" w:rsidR="004F747E" w:rsidRDefault="004F747E" w:rsidP="00F42105">
      <w:pPr>
        <w:spacing w:line="276" w:lineRule="auto"/>
        <w:jc w:val="both"/>
        <w:rPr>
          <w:rFonts w:ascii="Cambria" w:hAnsi="Cambria"/>
        </w:rPr>
      </w:pPr>
    </w:p>
    <w:p w14:paraId="221904D5" w14:textId="77777777" w:rsidR="001A7FDA" w:rsidRDefault="004F747E" w:rsidP="007640FF">
      <w:pPr>
        <w:spacing w:line="276" w:lineRule="auto"/>
        <w:jc w:val="both"/>
        <w:rPr>
          <w:rFonts w:ascii="Cambria" w:hAnsi="Cambria"/>
        </w:rPr>
      </w:pPr>
      <w:r>
        <w:rPr>
          <w:rFonts w:ascii="Cambria" w:hAnsi="Cambria"/>
        </w:rPr>
        <w:t xml:space="preserve">Wir scheinen ungefähr zu </w:t>
      </w:r>
      <w:r w:rsidR="002225C5">
        <w:rPr>
          <w:rFonts w:ascii="Cambria" w:hAnsi="Cambria"/>
        </w:rPr>
        <w:t>wissen</w:t>
      </w:r>
      <w:r>
        <w:rPr>
          <w:rFonts w:ascii="Cambria" w:hAnsi="Cambria"/>
        </w:rPr>
        <w:t xml:space="preserve">, was Einwilligung ist und wann sie gültig ist, aber bei genauerem Nachdenken tauchen doch viele Fragen auf. Z.B.: </w:t>
      </w:r>
    </w:p>
    <w:p w14:paraId="36F3DA5A" w14:textId="77777777" w:rsidR="001A7FDA" w:rsidRDefault="004F747E" w:rsidP="007640FF">
      <w:pPr>
        <w:pStyle w:val="Listenabsatz"/>
        <w:numPr>
          <w:ilvl w:val="0"/>
          <w:numId w:val="10"/>
        </w:numPr>
        <w:spacing w:line="276" w:lineRule="auto"/>
        <w:ind w:left="284" w:hanging="284"/>
        <w:jc w:val="both"/>
        <w:rPr>
          <w:rFonts w:ascii="Cambria" w:hAnsi="Cambria"/>
        </w:rPr>
      </w:pPr>
      <w:r w:rsidRPr="001A7FDA">
        <w:rPr>
          <w:rFonts w:ascii="Cambria" w:hAnsi="Cambria"/>
        </w:rPr>
        <w:t xml:space="preserve">Ist es das gleiche, in eine Handlung einzuwilligen und </w:t>
      </w:r>
      <w:r w:rsidR="00661798" w:rsidRPr="001A7FDA">
        <w:rPr>
          <w:rFonts w:ascii="Cambria" w:hAnsi="Cambria"/>
        </w:rPr>
        <w:t xml:space="preserve">sich zu wünschen, dass </w:t>
      </w:r>
      <w:r w:rsidRPr="001A7FDA">
        <w:rPr>
          <w:rFonts w:ascii="Cambria" w:hAnsi="Cambria"/>
        </w:rPr>
        <w:t xml:space="preserve">eine Handlung </w:t>
      </w:r>
      <w:r w:rsidR="00661798" w:rsidRPr="001A7FDA">
        <w:rPr>
          <w:rFonts w:ascii="Cambria" w:hAnsi="Cambria"/>
        </w:rPr>
        <w:t>ausgeführt wird</w:t>
      </w:r>
      <w:r w:rsidRPr="001A7FDA">
        <w:rPr>
          <w:rFonts w:ascii="Cambria" w:hAnsi="Cambria"/>
        </w:rPr>
        <w:t xml:space="preserve">? </w:t>
      </w:r>
    </w:p>
    <w:p w14:paraId="2C8907DA" w14:textId="77777777" w:rsidR="001A7FDA" w:rsidRDefault="004F747E" w:rsidP="007640FF">
      <w:pPr>
        <w:pStyle w:val="Listenabsatz"/>
        <w:numPr>
          <w:ilvl w:val="0"/>
          <w:numId w:val="10"/>
        </w:numPr>
        <w:spacing w:line="276" w:lineRule="auto"/>
        <w:ind w:left="284" w:hanging="284"/>
        <w:jc w:val="both"/>
        <w:rPr>
          <w:rFonts w:ascii="Cambria" w:hAnsi="Cambria"/>
        </w:rPr>
      </w:pPr>
      <w:r w:rsidRPr="001A7FDA">
        <w:rPr>
          <w:rFonts w:ascii="Cambria" w:hAnsi="Cambria"/>
        </w:rPr>
        <w:t xml:space="preserve">Kann man in alle Handlungen einwilligen? </w:t>
      </w:r>
    </w:p>
    <w:p w14:paraId="1FA566B5" w14:textId="77777777" w:rsidR="001A7FDA" w:rsidRDefault="004F747E" w:rsidP="007640FF">
      <w:pPr>
        <w:pStyle w:val="Listenabsatz"/>
        <w:numPr>
          <w:ilvl w:val="0"/>
          <w:numId w:val="10"/>
        </w:numPr>
        <w:spacing w:line="276" w:lineRule="auto"/>
        <w:ind w:left="284" w:hanging="284"/>
        <w:jc w:val="both"/>
        <w:rPr>
          <w:rFonts w:ascii="Cambria" w:hAnsi="Cambria"/>
        </w:rPr>
      </w:pPr>
      <w:r w:rsidRPr="001A7FDA">
        <w:rPr>
          <w:rFonts w:ascii="Cambria" w:hAnsi="Cambria"/>
        </w:rPr>
        <w:t xml:space="preserve">Ist jeder </w:t>
      </w:r>
      <w:r w:rsidR="00D977FA" w:rsidRPr="001A7FDA">
        <w:rPr>
          <w:rFonts w:ascii="Cambria" w:hAnsi="Cambria"/>
        </w:rPr>
        <w:t>immer</w:t>
      </w:r>
      <w:r w:rsidRPr="001A7FDA">
        <w:rPr>
          <w:rFonts w:ascii="Cambria" w:hAnsi="Cambria"/>
        </w:rPr>
        <w:t xml:space="preserve"> zu gültiger Einwilligung fähig</w:t>
      </w:r>
      <w:r w:rsidR="00D977FA" w:rsidRPr="001A7FDA">
        <w:rPr>
          <w:rFonts w:ascii="Cambria" w:hAnsi="Cambria"/>
        </w:rPr>
        <w:t>?</w:t>
      </w:r>
      <w:r w:rsidR="008E11BA" w:rsidRPr="001A7FDA">
        <w:rPr>
          <w:rFonts w:ascii="Cambria" w:hAnsi="Cambria"/>
        </w:rPr>
        <w:t xml:space="preserve"> </w:t>
      </w:r>
      <w:r w:rsidR="00D977FA" w:rsidRPr="001A7FDA">
        <w:rPr>
          <w:rFonts w:ascii="Cambria" w:hAnsi="Cambria"/>
        </w:rPr>
        <w:t>W</w:t>
      </w:r>
      <w:r w:rsidRPr="001A7FDA">
        <w:rPr>
          <w:rFonts w:ascii="Cambria" w:hAnsi="Cambria"/>
        </w:rPr>
        <w:t xml:space="preserve">enn nicht, was sind die Bedingungen für gültige Einwilligung? </w:t>
      </w:r>
    </w:p>
    <w:p w14:paraId="7271B5F0" w14:textId="77777777" w:rsidR="001A7FDA" w:rsidRDefault="00070896" w:rsidP="007640FF">
      <w:pPr>
        <w:pStyle w:val="Listenabsatz"/>
        <w:numPr>
          <w:ilvl w:val="0"/>
          <w:numId w:val="10"/>
        </w:numPr>
        <w:spacing w:line="276" w:lineRule="auto"/>
        <w:ind w:left="284" w:hanging="284"/>
        <w:jc w:val="both"/>
        <w:rPr>
          <w:rFonts w:ascii="Cambria" w:hAnsi="Cambria"/>
        </w:rPr>
      </w:pPr>
      <w:r w:rsidRPr="001A7FDA">
        <w:rPr>
          <w:rFonts w:ascii="Cambria" w:hAnsi="Cambria"/>
        </w:rPr>
        <w:t xml:space="preserve">Können wir immer wissen, ob jemand </w:t>
      </w:r>
      <w:r w:rsidR="00661798" w:rsidRPr="001A7FDA">
        <w:rPr>
          <w:rFonts w:ascii="Cambria" w:hAnsi="Cambria"/>
        </w:rPr>
        <w:t xml:space="preserve">tatsächlich in eine Handlung </w:t>
      </w:r>
      <w:r w:rsidRPr="001A7FDA">
        <w:rPr>
          <w:rFonts w:ascii="Cambria" w:hAnsi="Cambria"/>
        </w:rPr>
        <w:t xml:space="preserve">eingewilligt hat? </w:t>
      </w:r>
    </w:p>
    <w:p w14:paraId="6067F4C7" w14:textId="54EAD76D" w:rsidR="00D977FA" w:rsidRPr="001A7FDA" w:rsidRDefault="00D977FA" w:rsidP="007640FF">
      <w:pPr>
        <w:spacing w:line="276" w:lineRule="auto"/>
        <w:jc w:val="both"/>
        <w:rPr>
          <w:rFonts w:ascii="Cambria" w:hAnsi="Cambria"/>
        </w:rPr>
      </w:pPr>
      <w:r w:rsidRPr="001A7FDA">
        <w:rPr>
          <w:rFonts w:ascii="Cambria" w:hAnsi="Cambria"/>
        </w:rPr>
        <w:t>In einem Gespräch zwischen drei Philosoph*innen von der Universität Bern</w:t>
      </w:r>
      <w:r w:rsidR="005F04F3" w:rsidRPr="001A7FDA">
        <w:rPr>
          <w:rFonts w:ascii="Cambria" w:hAnsi="Cambria"/>
        </w:rPr>
        <w:t xml:space="preserve">, </w:t>
      </w:r>
      <w:r w:rsidRPr="001A7FDA">
        <w:rPr>
          <w:rFonts w:ascii="Cambria" w:hAnsi="Cambria"/>
        </w:rPr>
        <w:t xml:space="preserve">Andreas </w:t>
      </w:r>
      <w:proofErr w:type="spellStart"/>
      <w:r w:rsidRPr="001A7FDA">
        <w:rPr>
          <w:rFonts w:ascii="Cambria" w:hAnsi="Cambria"/>
        </w:rPr>
        <w:t>Cassee</w:t>
      </w:r>
      <w:proofErr w:type="spellEnd"/>
      <w:r w:rsidRPr="001A7FDA">
        <w:rPr>
          <w:rFonts w:ascii="Cambria" w:hAnsi="Cambria"/>
        </w:rPr>
        <w:t>, Anna Goppel und Andreas Müller</w:t>
      </w:r>
      <w:r w:rsidR="005F04F3" w:rsidRPr="001A7FDA">
        <w:rPr>
          <w:rFonts w:ascii="Cambria" w:hAnsi="Cambria"/>
        </w:rPr>
        <w:t>,</w:t>
      </w:r>
      <w:r w:rsidR="00661798" w:rsidRPr="001A7FDA">
        <w:rPr>
          <w:rFonts w:ascii="Cambria" w:hAnsi="Cambria"/>
        </w:rPr>
        <w:t xml:space="preserve"> </w:t>
      </w:r>
      <w:r w:rsidRPr="001A7FDA">
        <w:rPr>
          <w:rFonts w:ascii="Cambria" w:hAnsi="Cambria"/>
        </w:rPr>
        <w:t xml:space="preserve">geht es um Fragen wie diese. </w:t>
      </w:r>
    </w:p>
    <w:p w14:paraId="3656B9AB" w14:textId="77777777" w:rsidR="00D977FA" w:rsidRDefault="00D977FA" w:rsidP="007640FF">
      <w:pPr>
        <w:spacing w:line="276" w:lineRule="auto"/>
        <w:jc w:val="both"/>
        <w:rPr>
          <w:rFonts w:ascii="Cambria" w:hAnsi="Cambria"/>
        </w:rPr>
      </w:pPr>
    </w:p>
    <w:p w14:paraId="03AC8914" w14:textId="77777777" w:rsidR="00D977FA" w:rsidRPr="00D977FA" w:rsidRDefault="00D977FA" w:rsidP="007640FF">
      <w:pPr>
        <w:spacing w:line="276" w:lineRule="auto"/>
        <w:jc w:val="both"/>
        <w:rPr>
          <w:rFonts w:ascii="Cambria" w:hAnsi="Cambria"/>
          <w:b/>
        </w:rPr>
      </w:pPr>
      <w:r w:rsidRPr="00D977FA">
        <w:rPr>
          <w:rFonts w:ascii="Cambria" w:hAnsi="Cambria"/>
          <w:b/>
        </w:rPr>
        <w:t>Aufgaben</w:t>
      </w:r>
    </w:p>
    <w:p w14:paraId="45FB0818" w14:textId="77777777" w:rsidR="00D977FA" w:rsidRDefault="00D977FA" w:rsidP="007640FF">
      <w:pPr>
        <w:spacing w:line="276" w:lineRule="auto"/>
        <w:jc w:val="both"/>
        <w:rPr>
          <w:rFonts w:ascii="Cambria" w:hAnsi="Cambria"/>
        </w:rPr>
      </w:pPr>
    </w:p>
    <w:p w14:paraId="22389E57" w14:textId="539DE92C" w:rsidR="00D977FA" w:rsidRDefault="00D977FA" w:rsidP="007640FF">
      <w:pPr>
        <w:spacing w:line="276" w:lineRule="auto"/>
        <w:jc w:val="both"/>
        <w:rPr>
          <w:rFonts w:ascii="Cambria" w:hAnsi="Cambria"/>
        </w:rPr>
      </w:pPr>
      <w:r>
        <w:rPr>
          <w:rFonts w:ascii="Cambria" w:hAnsi="Cambria"/>
        </w:rPr>
        <w:t>Hört oder lest den ersten Teil des Gesprächs (</w:t>
      </w:r>
      <w:r w:rsidR="008836C2">
        <w:rPr>
          <w:rFonts w:ascii="Cambria" w:hAnsi="Cambria"/>
        </w:rPr>
        <w:t>Auszug 1</w:t>
      </w:r>
      <w:r w:rsidR="008C2A34">
        <w:rPr>
          <w:rFonts w:ascii="Cambria" w:hAnsi="Cambria"/>
        </w:rPr>
        <w:t xml:space="preserve"> </w:t>
      </w:r>
      <w:r w:rsidR="00D3305A">
        <w:rPr>
          <w:rFonts w:ascii="Cambria" w:hAnsi="Cambria"/>
        </w:rPr>
        <w:t xml:space="preserve">vom Beginn </w:t>
      </w:r>
      <w:r>
        <w:rPr>
          <w:rFonts w:ascii="Cambria" w:hAnsi="Cambria"/>
        </w:rPr>
        <w:t xml:space="preserve">bis Minute </w:t>
      </w:r>
      <w:r w:rsidR="001C1DEE">
        <w:rPr>
          <w:rFonts w:ascii="Cambria" w:hAnsi="Cambria"/>
        </w:rPr>
        <w:t>6:22</w:t>
      </w:r>
      <w:r w:rsidR="00B51544">
        <w:rPr>
          <w:rFonts w:ascii="Cambria" w:hAnsi="Cambria"/>
        </w:rPr>
        <w:t xml:space="preserve">; </w:t>
      </w:r>
      <w:r w:rsidR="005F04F3">
        <w:rPr>
          <w:rFonts w:ascii="Cambria" w:hAnsi="Cambria"/>
        </w:rPr>
        <w:t>siehe unten</w:t>
      </w:r>
      <w:r w:rsidR="008836C2">
        <w:rPr>
          <w:rFonts w:ascii="Cambria" w:hAnsi="Cambria"/>
        </w:rPr>
        <w:t>)</w:t>
      </w:r>
      <w:r>
        <w:rPr>
          <w:rFonts w:ascii="Cambria" w:hAnsi="Cambria"/>
        </w:rPr>
        <w:t xml:space="preserve">, um die folgenden Fragen zu beantworten: </w:t>
      </w:r>
    </w:p>
    <w:p w14:paraId="049F31CB" w14:textId="77777777" w:rsidR="00D977FA" w:rsidRDefault="00D977FA" w:rsidP="007640FF">
      <w:pPr>
        <w:spacing w:line="276" w:lineRule="auto"/>
        <w:jc w:val="both"/>
        <w:rPr>
          <w:rFonts w:ascii="Cambria" w:hAnsi="Cambria"/>
        </w:rPr>
      </w:pPr>
    </w:p>
    <w:p w14:paraId="5F48CC39" w14:textId="483B9E61" w:rsidR="001A7FDA" w:rsidRPr="001A7FDA" w:rsidRDefault="001A7FDA" w:rsidP="007640FF">
      <w:pPr>
        <w:pStyle w:val="Kommentartext"/>
        <w:numPr>
          <w:ilvl w:val="0"/>
          <w:numId w:val="11"/>
        </w:numPr>
        <w:spacing w:line="276" w:lineRule="auto"/>
        <w:ind w:left="426" w:hanging="426"/>
        <w:jc w:val="both"/>
        <w:rPr>
          <w:rFonts w:ascii="Cambria" w:hAnsi="Cambria"/>
          <w:sz w:val="24"/>
          <w:szCs w:val="24"/>
        </w:rPr>
      </w:pPr>
      <w:r>
        <w:rPr>
          <w:rFonts w:ascii="Cambria" w:hAnsi="Cambria"/>
          <w:sz w:val="24"/>
          <w:szCs w:val="24"/>
        </w:rPr>
        <w:t>(a)</w:t>
      </w:r>
      <w:r w:rsidRPr="001A7FDA">
        <w:rPr>
          <w:rFonts w:ascii="Cambria" w:hAnsi="Cambria"/>
          <w:sz w:val="24"/>
          <w:szCs w:val="24"/>
        </w:rPr>
        <w:t xml:space="preserve"> Erklärt, warum Andreas Müller meint, dass in eine Handlung einzuwilligen nicht heißen muss, sich die Ausführung der Handlung zu wünschen. </w:t>
      </w:r>
    </w:p>
    <w:p w14:paraId="06CF862B" w14:textId="26B5C288" w:rsidR="001A7FDA" w:rsidRPr="001A7FDA" w:rsidRDefault="001A7FDA" w:rsidP="007640FF">
      <w:pPr>
        <w:pStyle w:val="Kommentartext"/>
        <w:spacing w:line="276" w:lineRule="auto"/>
        <w:ind w:left="426"/>
        <w:jc w:val="both"/>
        <w:rPr>
          <w:rFonts w:ascii="Cambria" w:hAnsi="Cambria"/>
          <w:sz w:val="24"/>
          <w:szCs w:val="24"/>
        </w:rPr>
      </w:pPr>
      <w:r>
        <w:rPr>
          <w:rFonts w:ascii="Cambria" w:hAnsi="Cambria"/>
          <w:sz w:val="24"/>
          <w:szCs w:val="24"/>
        </w:rPr>
        <w:t xml:space="preserve">(b) </w:t>
      </w:r>
      <w:r w:rsidRPr="001A7FDA">
        <w:rPr>
          <w:rFonts w:ascii="Cambria" w:hAnsi="Cambria"/>
          <w:sz w:val="24"/>
          <w:szCs w:val="24"/>
        </w:rPr>
        <w:t xml:space="preserve">Gebt das </w:t>
      </w:r>
      <w:r>
        <w:rPr>
          <w:rFonts w:ascii="Cambria" w:hAnsi="Cambria"/>
          <w:sz w:val="24"/>
          <w:szCs w:val="24"/>
        </w:rPr>
        <w:t xml:space="preserve">von </w:t>
      </w:r>
      <w:r w:rsidRPr="001A7FDA">
        <w:rPr>
          <w:rFonts w:ascii="Cambria" w:hAnsi="Cambria"/>
          <w:sz w:val="24"/>
          <w:szCs w:val="24"/>
        </w:rPr>
        <w:t>Müller genannte Beispiel für eine solche Situation wieder und findet eigene Beispiele, in denen Einwilligung und Wollen „auseinanderfallen“.</w:t>
      </w:r>
    </w:p>
    <w:p w14:paraId="4C623F44" w14:textId="77777777" w:rsidR="001A7FDA" w:rsidRPr="001A7FDA" w:rsidRDefault="001A7FDA" w:rsidP="007640FF">
      <w:pPr>
        <w:pStyle w:val="Kommentartext"/>
        <w:spacing w:line="276" w:lineRule="auto"/>
        <w:ind w:left="426"/>
        <w:jc w:val="both"/>
        <w:rPr>
          <w:rFonts w:ascii="Cambria" w:hAnsi="Cambria"/>
          <w:sz w:val="24"/>
          <w:szCs w:val="24"/>
        </w:rPr>
      </w:pPr>
      <w:r w:rsidRPr="001A7FDA">
        <w:rPr>
          <w:rFonts w:ascii="Cambria" w:hAnsi="Cambria"/>
          <w:sz w:val="24"/>
          <w:szCs w:val="24"/>
        </w:rPr>
        <w:t>(c) Stellt Überlegungen dazu an, warum es nicht nur philosophisch interessant, sondern auch im Alltag wichtig sein könnte, die Unterscheidung zwischen dem Wollen einer Handlung und der Einwilligung in diese Handlung zu berücksichtigen.</w:t>
      </w:r>
    </w:p>
    <w:p w14:paraId="561739AA" w14:textId="77777777" w:rsidR="001A7FDA" w:rsidRDefault="00BC3866" w:rsidP="007640FF">
      <w:pPr>
        <w:pStyle w:val="Kommentartext"/>
        <w:numPr>
          <w:ilvl w:val="0"/>
          <w:numId w:val="11"/>
        </w:numPr>
        <w:spacing w:line="276" w:lineRule="auto"/>
        <w:ind w:left="426" w:hanging="426"/>
        <w:jc w:val="both"/>
        <w:rPr>
          <w:rFonts w:ascii="Cambria" w:hAnsi="Cambria"/>
          <w:sz w:val="24"/>
          <w:szCs w:val="24"/>
        </w:rPr>
      </w:pPr>
      <w:r w:rsidRPr="001A7FDA">
        <w:rPr>
          <w:rFonts w:ascii="Cambria" w:hAnsi="Cambria"/>
          <w:sz w:val="24"/>
          <w:szCs w:val="24"/>
        </w:rPr>
        <w:t xml:space="preserve">Es scheint Fälle zu geben, in denen jemand in eine Handlung einwilligt, </w:t>
      </w:r>
      <w:r w:rsidR="00661798" w:rsidRPr="001A7FDA">
        <w:rPr>
          <w:rFonts w:ascii="Cambria" w:hAnsi="Cambria"/>
          <w:sz w:val="24"/>
          <w:szCs w:val="24"/>
        </w:rPr>
        <w:t xml:space="preserve">in denen </w:t>
      </w:r>
      <w:r w:rsidRPr="001A7FDA">
        <w:rPr>
          <w:rFonts w:ascii="Cambria" w:hAnsi="Cambria"/>
          <w:sz w:val="24"/>
          <w:szCs w:val="24"/>
        </w:rPr>
        <w:t>dies</w:t>
      </w:r>
      <w:r w:rsidR="00236199" w:rsidRPr="001A7FDA">
        <w:rPr>
          <w:rFonts w:ascii="Cambria" w:hAnsi="Cambria"/>
          <w:sz w:val="24"/>
          <w:szCs w:val="24"/>
        </w:rPr>
        <w:t>e Einwilligung aber nicht gültig ist</w:t>
      </w:r>
      <w:r w:rsidR="001A7FDA">
        <w:rPr>
          <w:rFonts w:ascii="Cambria" w:hAnsi="Cambria"/>
          <w:sz w:val="24"/>
          <w:szCs w:val="24"/>
        </w:rPr>
        <w:t>, z.B.:</w:t>
      </w:r>
      <w:r w:rsidR="00661798" w:rsidRPr="001A7FDA">
        <w:rPr>
          <w:rFonts w:ascii="Cambria" w:hAnsi="Cambria"/>
          <w:sz w:val="24"/>
          <w:szCs w:val="24"/>
        </w:rPr>
        <w:t xml:space="preserve"> </w:t>
      </w:r>
    </w:p>
    <w:p w14:paraId="1783A49B" w14:textId="23815FCE" w:rsidR="001A7FDA" w:rsidRDefault="00661798" w:rsidP="007640FF">
      <w:pPr>
        <w:pStyle w:val="Kommentartext"/>
        <w:numPr>
          <w:ilvl w:val="0"/>
          <w:numId w:val="12"/>
        </w:numPr>
        <w:spacing w:line="276" w:lineRule="auto"/>
        <w:ind w:left="709" w:hanging="283"/>
        <w:jc w:val="both"/>
        <w:rPr>
          <w:rFonts w:ascii="Cambria" w:hAnsi="Cambria"/>
          <w:sz w:val="24"/>
          <w:szCs w:val="24"/>
        </w:rPr>
      </w:pPr>
      <w:r w:rsidRPr="001A7FDA">
        <w:rPr>
          <w:rFonts w:ascii="Cambria" w:hAnsi="Cambria"/>
          <w:sz w:val="24"/>
          <w:szCs w:val="24"/>
        </w:rPr>
        <w:t xml:space="preserve">A </w:t>
      </w:r>
      <w:r w:rsidR="001A7FDA">
        <w:rPr>
          <w:rFonts w:ascii="Cambria" w:hAnsi="Cambria"/>
          <w:sz w:val="24"/>
          <w:szCs w:val="24"/>
        </w:rPr>
        <w:t>willigt ein</w:t>
      </w:r>
      <w:r w:rsidRPr="001A7FDA">
        <w:rPr>
          <w:rFonts w:ascii="Cambria" w:hAnsi="Cambria"/>
          <w:sz w:val="24"/>
          <w:szCs w:val="24"/>
        </w:rPr>
        <w:t xml:space="preserve">, B Geld zu geben, aber B </w:t>
      </w:r>
      <w:r w:rsidR="001A7FDA">
        <w:rPr>
          <w:rFonts w:ascii="Cambria" w:hAnsi="Cambria"/>
          <w:sz w:val="24"/>
          <w:szCs w:val="24"/>
        </w:rPr>
        <w:t xml:space="preserve">bedroht </w:t>
      </w:r>
      <w:r w:rsidRPr="001A7FDA">
        <w:rPr>
          <w:rFonts w:ascii="Cambria" w:hAnsi="Cambria"/>
          <w:sz w:val="24"/>
          <w:szCs w:val="24"/>
        </w:rPr>
        <w:t>A</w:t>
      </w:r>
      <w:r w:rsidR="001A7FDA">
        <w:rPr>
          <w:rFonts w:ascii="Cambria" w:hAnsi="Cambria"/>
          <w:sz w:val="24"/>
          <w:szCs w:val="24"/>
        </w:rPr>
        <w:t xml:space="preserve"> </w:t>
      </w:r>
      <w:r w:rsidRPr="001A7FDA">
        <w:rPr>
          <w:rFonts w:ascii="Cambria" w:hAnsi="Cambria"/>
          <w:sz w:val="24"/>
          <w:szCs w:val="24"/>
        </w:rPr>
        <w:t>dabei mit einer Waffe</w:t>
      </w:r>
      <w:r w:rsidR="001A7FDA">
        <w:rPr>
          <w:rFonts w:ascii="Cambria" w:hAnsi="Cambria"/>
          <w:sz w:val="24"/>
          <w:szCs w:val="24"/>
        </w:rPr>
        <w:t>.</w:t>
      </w:r>
    </w:p>
    <w:p w14:paraId="7E363B59" w14:textId="35452F50" w:rsidR="001A7FDA" w:rsidRDefault="00661798" w:rsidP="007640FF">
      <w:pPr>
        <w:pStyle w:val="Kommentartext"/>
        <w:numPr>
          <w:ilvl w:val="0"/>
          <w:numId w:val="12"/>
        </w:numPr>
        <w:spacing w:line="276" w:lineRule="auto"/>
        <w:ind w:left="709" w:hanging="283"/>
        <w:jc w:val="both"/>
        <w:rPr>
          <w:rFonts w:ascii="Cambria" w:hAnsi="Cambria"/>
          <w:sz w:val="24"/>
          <w:szCs w:val="24"/>
        </w:rPr>
      </w:pPr>
      <w:r w:rsidRPr="001A7FDA">
        <w:rPr>
          <w:rFonts w:ascii="Cambria" w:hAnsi="Cambria"/>
          <w:sz w:val="24"/>
          <w:szCs w:val="24"/>
        </w:rPr>
        <w:t xml:space="preserve">A </w:t>
      </w:r>
      <w:r w:rsidR="001A7FDA">
        <w:rPr>
          <w:rFonts w:ascii="Cambria" w:hAnsi="Cambria"/>
          <w:sz w:val="24"/>
          <w:szCs w:val="24"/>
        </w:rPr>
        <w:t>willigt in</w:t>
      </w:r>
      <w:r w:rsidRPr="001A7FDA">
        <w:rPr>
          <w:rFonts w:ascii="Cambria" w:hAnsi="Cambria"/>
          <w:sz w:val="24"/>
          <w:szCs w:val="24"/>
        </w:rPr>
        <w:t xml:space="preserve"> eine </w:t>
      </w:r>
      <w:r w:rsidR="0024417B" w:rsidRPr="001A7FDA">
        <w:rPr>
          <w:rFonts w:ascii="Cambria" w:hAnsi="Cambria"/>
          <w:sz w:val="24"/>
          <w:szCs w:val="24"/>
        </w:rPr>
        <w:t>medizinische Behandlung</w:t>
      </w:r>
      <w:r w:rsidRPr="001A7FDA">
        <w:rPr>
          <w:rFonts w:ascii="Cambria" w:hAnsi="Cambria"/>
          <w:sz w:val="24"/>
          <w:szCs w:val="24"/>
        </w:rPr>
        <w:t xml:space="preserve"> </w:t>
      </w:r>
      <w:r w:rsidR="0024417B" w:rsidRPr="001A7FDA">
        <w:rPr>
          <w:rFonts w:ascii="Cambria" w:hAnsi="Cambria"/>
          <w:sz w:val="24"/>
          <w:szCs w:val="24"/>
        </w:rPr>
        <w:t xml:space="preserve">durch B </w:t>
      </w:r>
      <w:r w:rsidR="001A7FDA">
        <w:rPr>
          <w:rFonts w:ascii="Cambria" w:hAnsi="Cambria"/>
          <w:sz w:val="24"/>
          <w:szCs w:val="24"/>
        </w:rPr>
        <w:t>ein</w:t>
      </w:r>
      <w:r w:rsidRPr="001A7FDA">
        <w:rPr>
          <w:rFonts w:ascii="Cambria" w:hAnsi="Cambria"/>
          <w:sz w:val="24"/>
          <w:szCs w:val="24"/>
        </w:rPr>
        <w:t xml:space="preserve">, aber </w:t>
      </w:r>
      <w:r w:rsidR="001A7FDA">
        <w:rPr>
          <w:rFonts w:ascii="Cambria" w:hAnsi="Cambria"/>
          <w:sz w:val="24"/>
          <w:szCs w:val="24"/>
        </w:rPr>
        <w:t xml:space="preserve">weiß </w:t>
      </w:r>
      <w:r w:rsidRPr="001A7FDA">
        <w:rPr>
          <w:rFonts w:ascii="Cambria" w:hAnsi="Cambria"/>
          <w:sz w:val="24"/>
          <w:szCs w:val="24"/>
        </w:rPr>
        <w:t>nicht</w:t>
      </w:r>
      <w:r w:rsidR="0024417B" w:rsidRPr="001A7FDA">
        <w:rPr>
          <w:rFonts w:ascii="Cambria" w:hAnsi="Cambria"/>
          <w:sz w:val="24"/>
          <w:szCs w:val="24"/>
        </w:rPr>
        <w:t>s über die Risiken</w:t>
      </w:r>
      <w:r w:rsidR="001A7FDA">
        <w:rPr>
          <w:rFonts w:ascii="Cambria" w:hAnsi="Cambria"/>
          <w:sz w:val="24"/>
          <w:szCs w:val="24"/>
        </w:rPr>
        <w:t>.</w:t>
      </w:r>
    </w:p>
    <w:p w14:paraId="228DDC86" w14:textId="77777777" w:rsidR="001A7FDA" w:rsidRDefault="0024417B" w:rsidP="007640FF">
      <w:pPr>
        <w:pStyle w:val="Kommentartext"/>
        <w:numPr>
          <w:ilvl w:val="0"/>
          <w:numId w:val="12"/>
        </w:numPr>
        <w:spacing w:line="276" w:lineRule="auto"/>
        <w:ind w:left="709" w:hanging="283"/>
        <w:jc w:val="both"/>
        <w:rPr>
          <w:rFonts w:ascii="Cambria" w:hAnsi="Cambria"/>
          <w:sz w:val="24"/>
          <w:szCs w:val="24"/>
        </w:rPr>
      </w:pPr>
      <w:r w:rsidRPr="001A7FDA">
        <w:rPr>
          <w:rFonts w:ascii="Cambria" w:hAnsi="Cambria"/>
          <w:sz w:val="24"/>
          <w:szCs w:val="24"/>
        </w:rPr>
        <w:t xml:space="preserve">A </w:t>
      </w:r>
      <w:r w:rsidR="001A7FDA">
        <w:rPr>
          <w:rFonts w:ascii="Cambria" w:hAnsi="Cambria"/>
          <w:sz w:val="24"/>
          <w:szCs w:val="24"/>
        </w:rPr>
        <w:t>willigt ein</w:t>
      </w:r>
      <w:r w:rsidRPr="001A7FDA">
        <w:rPr>
          <w:rFonts w:ascii="Cambria" w:hAnsi="Cambria"/>
          <w:sz w:val="24"/>
          <w:szCs w:val="24"/>
        </w:rPr>
        <w:t xml:space="preserve">, dass B ihn sexuell berührt, aber A </w:t>
      </w:r>
      <w:r w:rsidR="001A7FDA">
        <w:rPr>
          <w:rFonts w:ascii="Cambria" w:hAnsi="Cambria"/>
          <w:sz w:val="24"/>
          <w:szCs w:val="24"/>
        </w:rPr>
        <w:t xml:space="preserve">ist </w:t>
      </w:r>
      <w:r w:rsidRPr="001A7FDA">
        <w:rPr>
          <w:rFonts w:ascii="Cambria" w:hAnsi="Cambria"/>
          <w:sz w:val="24"/>
          <w:szCs w:val="24"/>
        </w:rPr>
        <w:t>erst 10 und B 18 Jahre alt.</w:t>
      </w:r>
    </w:p>
    <w:p w14:paraId="5B46BDE5" w14:textId="77777777" w:rsidR="001A7FDA" w:rsidRDefault="139C57FE" w:rsidP="007640FF">
      <w:pPr>
        <w:pStyle w:val="Kommentartext"/>
        <w:spacing w:line="276" w:lineRule="auto"/>
        <w:ind w:left="426"/>
        <w:jc w:val="both"/>
        <w:rPr>
          <w:rFonts w:ascii="Cambria" w:hAnsi="Cambria"/>
          <w:sz w:val="24"/>
          <w:szCs w:val="24"/>
        </w:rPr>
      </w:pPr>
      <w:r w:rsidRPr="001A7FDA">
        <w:rPr>
          <w:rFonts w:ascii="Cambria" w:hAnsi="Cambria"/>
          <w:sz w:val="24"/>
          <w:szCs w:val="24"/>
        </w:rPr>
        <w:t xml:space="preserve">Wie bestimmt Müller gültige Einwilligung? </w:t>
      </w:r>
    </w:p>
    <w:p w14:paraId="3A9DCE97" w14:textId="77777777" w:rsidR="001A7FDA" w:rsidRDefault="00236199" w:rsidP="007640FF">
      <w:pPr>
        <w:pStyle w:val="Kommentartext"/>
        <w:spacing w:line="276" w:lineRule="auto"/>
        <w:ind w:left="426"/>
        <w:jc w:val="both"/>
        <w:rPr>
          <w:rFonts w:ascii="Cambria" w:hAnsi="Cambria"/>
          <w:sz w:val="24"/>
          <w:szCs w:val="24"/>
        </w:rPr>
      </w:pPr>
      <w:r w:rsidRPr="001A7FDA">
        <w:rPr>
          <w:rFonts w:ascii="Cambria" w:hAnsi="Cambria"/>
          <w:sz w:val="24"/>
          <w:szCs w:val="24"/>
        </w:rPr>
        <w:t xml:space="preserve">(a) </w:t>
      </w:r>
      <w:r w:rsidR="139C57FE" w:rsidRPr="001A7FDA">
        <w:rPr>
          <w:rFonts w:ascii="Cambria" w:hAnsi="Cambria"/>
          <w:sz w:val="24"/>
          <w:szCs w:val="24"/>
        </w:rPr>
        <w:t>Formuliert auf der Grundlage seiner Aussagen eine möglichst präzise Definition von Einwilligung</w:t>
      </w:r>
      <w:r w:rsidRPr="001A7FDA">
        <w:rPr>
          <w:rFonts w:ascii="Cambria" w:hAnsi="Cambria"/>
          <w:sz w:val="24"/>
          <w:szCs w:val="24"/>
        </w:rPr>
        <w:t>.</w:t>
      </w:r>
      <w:r w:rsidR="139C57FE" w:rsidRPr="001A7FDA">
        <w:rPr>
          <w:rFonts w:ascii="Cambria" w:hAnsi="Cambria"/>
          <w:sz w:val="24"/>
          <w:szCs w:val="24"/>
        </w:rPr>
        <w:t xml:space="preserve"> </w:t>
      </w:r>
    </w:p>
    <w:p w14:paraId="6D7DC913" w14:textId="577B9206" w:rsidR="001A7FDA" w:rsidRPr="001A7FDA" w:rsidRDefault="00236199" w:rsidP="007640FF">
      <w:pPr>
        <w:pStyle w:val="Kommentartext"/>
        <w:spacing w:line="276" w:lineRule="auto"/>
        <w:ind w:left="426"/>
        <w:jc w:val="both"/>
        <w:rPr>
          <w:rFonts w:ascii="Cambria" w:hAnsi="Cambria"/>
          <w:sz w:val="24"/>
          <w:szCs w:val="24"/>
        </w:rPr>
      </w:pPr>
      <w:r w:rsidRPr="001A7FDA">
        <w:rPr>
          <w:rFonts w:ascii="Cambria" w:hAnsi="Cambria"/>
          <w:sz w:val="24"/>
          <w:szCs w:val="24"/>
        </w:rPr>
        <w:t>(b) G</w:t>
      </w:r>
      <w:r w:rsidR="139C57FE" w:rsidRPr="001A7FDA">
        <w:rPr>
          <w:rFonts w:ascii="Cambria" w:hAnsi="Cambria"/>
          <w:sz w:val="24"/>
          <w:szCs w:val="24"/>
        </w:rPr>
        <w:t xml:space="preserve">ebt die genannten drei Bedingungen dafür wieder, dass </w:t>
      </w:r>
      <w:r w:rsidR="139C57FE" w:rsidRPr="001A7FDA">
        <w:rPr>
          <w:rFonts w:ascii="Cambria" w:hAnsi="Cambria"/>
          <w:i/>
          <w:iCs/>
          <w:sz w:val="24"/>
          <w:szCs w:val="24"/>
        </w:rPr>
        <w:t>gültige</w:t>
      </w:r>
      <w:r w:rsidR="139C57FE" w:rsidRPr="001A7FDA">
        <w:rPr>
          <w:rFonts w:ascii="Cambria" w:hAnsi="Cambria"/>
          <w:sz w:val="24"/>
          <w:szCs w:val="24"/>
        </w:rPr>
        <w:t xml:space="preserve"> Einwilligung vorliegt. </w:t>
      </w:r>
    </w:p>
    <w:p w14:paraId="626A10BD" w14:textId="76DC20CE" w:rsidR="00AE184C" w:rsidRPr="001A7FDA" w:rsidRDefault="7C4F6E5B" w:rsidP="007640FF">
      <w:pPr>
        <w:pStyle w:val="Kommentartext"/>
        <w:numPr>
          <w:ilvl w:val="0"/>
          <w:numId w:val="11"/>
        </w:numPr>
        <w:spacing w:line="276" w:lineRule="auto"/>
        <w:ind w:left="426" w:hanging="426"/>
        <w:jc w:val="both"/>
        <w:rPr>
          <w:rFonts w:ascii="Cambria" w:hAnsi="Cambria"/>
          <w:sz w:val="24"/>
          <w:szCs w:val="24"/>
        </w:rPr>
      </w:pPr>
      <w:r w:rsidRPr="7C4F6E5B">
        <w:rPr>
          <w:rFonts w:ascii="Cambria" w:hAnsi="Cambria"/>
          <w:sz w:val="24"/>
          <w:szCs w:val="24"/>
        </w:rPr>
        <w:t>Entwerft in Gruppen Szenarien, in denen etwas mit der Einwilligung schief geht, die eine Person einer anderen Person gibt (in denen also die Einwilligung nicht gültig ist). Spielt euch gegenseitig die Szenarien vor. Die jeweils anderen Gruppen haben die Aufgabe, zu benennen, welche Bedingung(en) für gültige Einwilligung nicht erfüllt ist</w:t>
      </w:r>
      <w:r w:rsidR="00D44B04">
        <w:rPr>
          <w:rFonts w:ascii="Cambria" w:hAnsi="Cambria"/>
          <w:sz w:val="24"/>
          <w:szCs w:val="24"/>
        </w:rPr>
        <w:t xml:space="preserve"> </w:t>
      </w:r>
      <w:r w:rsidRPr="7C4F6E5B">
        <w:rPr>
          <w:rFonts w:ascii="Cambria" w:hAnsi="Cambria"/>
          <w:sz w:val="24"/>
          <w:szCs w:val="24"/>
        </w:rPr>
        <w:t xml:space="preserve">(sind). </w:t>
      </w:r>
    </w:p>
    <w:p w14:paraId="1CD675E4" w14:textId="77777777" w:rsidR="005F04F3" w:rsidRDefault="005F04F3" w:rsidP="007640FF">
      <w:pPr>
        <w:spacing w:line="276" w:lineRule="auto"/>
        <w:jc w:val="both"/>
        <w:rPr>
          <w:rFonts w:ascii="Cambria" w:hAnsi="Cambria"/>
        </w:rPr>
      </w:pPr>
    </w:p>
    <w:p w14:paraId="1CF3D443" w14:textId="77777777" w:rsidR="008C2A34" w:rsidRDefault="008C2A34" w:rsidP="007640FF">
      <w:pPr>
        <w:spacing w:afterLines="60" w:after="144" w:line="276" w:lineRule="auto"/>
        <w:jc w:val="both"/>
        <w:rPr>
          <w:rFonts w:ascii="Cambria" w:hAnsi="Cambria"/>
          <w:b/>
          <w:bCs/>
        </w:rPr>
      </w:pPr>
    </w:p>
    <w:p w14:paraId="03BDB867" w14:textId="354115F3" w:rsidR="005F04F3" w:rsidRPr="00BC60DD" w:rsidRDefault="005F04F3" w:rsidP="005F04F3">
      <w:pPr>
        <w:spacing w:afterLines="60" w:after="144" w:line="276" w:lineRule="auto"/>
        <w:jc w:val="both"/>
        <w:rPr>
          <w:rFonts w:ascii="Cambria" w:hAnsi="Cambria"/>
          <w:b/>
          <w:bCs/>
        </w:rPr>
      </w:pPr>
      <w:r>
        <w:rPr>
          <w:rFonts w:ascii="Cambria" w:hAnsi="Cambria"/>
          <w:b/>
          <w:bCs/>
        </w:rPr>
        <w:lastRenderedPageBreak/>
        <w:t xml:space="preserve">Auszug </w:t>
      </w:r>
      <w:r w:rsidR="005169BB">
        <w:rPr>
          <w:rFonts w:ascii="Cambria" w:hAnsi="Cambria"/>
          <w:b/>
          <w:bCs/>
        </w:rPr>
        <w:t xml:space="preserve">1 </w:t>
      </w:r>
      <w:r>
        <w:rPr>
          <w:rFonts w:ascii="Cambria" w:hAnsi="Cambria"/>
          <w:b/>
          <w:bCs/>
        </w:rPr>
        <w:t xml:space="preserve">aus einem </w:t>
      </w:r>
      <w:r w:rsidRPr="00BC60DD">
        <w:rPr>
          <w:rFonts w:ascii="Cambria" w:hAnsi="Cambria"/>
          <w:b/>
          <w:bCs/>
        </w:rPr>
        <w:t xml:space="preserve">Gespräch mit Andreas Müller zum Thema Einwilligung </w:t>
      </w:r>
      <w:r>
        <w:rPr>
          <w:rFonts w:ascii="Cambria" w:hAnsi="Cambria"/>
          <w:b/>
          <w:bCs/>
        </w:rPr>
        <w:t xml:space="preserve">(2018) </w:t>
      </w:r>
    </w:p>
    <w:p w14:paraId="2058004A" w14:textId="77777777" w:rsidR="005F04F3" w:rsidRPr="00BC60DD" w:rsidRDefault="005F04F3" w:rsidP="005F04F3">
      <w:pPr>
        <w:spacing w:afterLines="60" w:after="144" w:line="276" w:lineRule="auto"/>
        <w:jc w:val="both"/>
        <w:rPr>
          <w:rFonts w:ascii="Cambria" w:hAnsi="Cambria"/>
        </w:rPr>
      </w:pPr>
      <w:r>
        <w:rPr>
          <w:rFonts w:ascii="Cambria" w:hAnsi="Cambria"/>
          <w:bCs/>
        </w:rPr>
        <w:t xml:space="preserve">Das Gespräch führen </w:t>
      </w:r>
      <w:r w:rsidRPr="00BC60DD">
        <w:rPr>
          <w:rFonts w:ascii="Cambria" w:hAnsi="Cambria"/>
          <w:bCs/>
        </w:rPr>
        <w:t xml:space="preserve">Dr. Andreas </w:t>
      </w:r>
      <w:proofErr w:type="spellStart"/>
      <w:r w:rsidRPr="00BC60DD">
        <w:rPr>
          <w:rFonts w:ascii="Cambria" w:hAnsi="Cambria"/>
          <w:bCs/>
        </w:rPr>
        <w:t>Cassee</w:t>
      </w:r>
      <w:proofErr w:type="spellEnd"/>
      <w:r>
        <w:rPr>
          <w:rFonts w:ascii="Cambria" w:hAnsi="Cambria"/>
        </w:rPr>
        <w:t xml:space="preserve"> und Prof. Dr. Anna Goppel mit Prof. Dr. Andreas Müller für den Ethik-Podcast „Hinterfragt“. Alle drei arbeiten am Institut für Philosophie der Universität Bern im Bereich der Praktischen Philosophie zu Fragen der Ethik und der Politischen Philosophie. Die Zahlen in Klammern verweisen auf die Minutenzahlen in der Audio-Version. </w:t>
      </w:r>
    </w:p>
    <w:p w14:paraId="2AD5965B" w14:textId="77777777" w:rsidR="005F04F3" w:rsidRDefault="005F04F3" w:rsidP="005F04F3">
      <w:pPr>
        <w:spacing w:afterLines="60" w:after="144" w:line="276" w:lineRule="auto"/>
        <w:jc w:val="both"/>
        <w:rPr>
          <w:rFonts w:ascii="Cambria" w:hAnsi="Cambria"/>
          <w:b/>
        </w:rPr>
        <w:sectPr w:rsidR="005F04F3" w:rsidSect="004B4725">
          <w:pgSz w:w="11900" w:h="16840"/>
          <w:pgMar w:top="1417" w:right="1417" w:bottom="1134" w:left="1417" w:header="708" w:footer="708" w:gutter="0"/>
          <w:cols w:space="708"/>
          <w:docGrid w:linePitch="360"/>
        </w:sectPr>
      </w:pPr>
    </w:p>
    <w:p w14:paraId="6B0FEB8D" w14:textId="7FB3ABDF" w:rsidR="005F04F3" w:rsidRPr="00BC60DD" w:rsidRDefault="005F04F3" w:rsidP="005F04F3">
      <w:pPr>
        <w:spacing w:afterLines="60" w:after="144" w:line="276" w:lineRule="auto"/>
        <w:jc w:val="both"/>
        <w:rPr>
          <w:rFonts w:ascii="Cambria" w:hAnsi="Cambria"/>
        </w:rPr>
      </w:pPr>
      <w:r w:rsidRPr="00BC60DD">
        <w:rPr>
          <w:rFonts w:ascii="Cambria" w:hAnsi="Cambria"/>
          <w:b/>
        </w:rPr>
        <w:t xml:space="preserve">Andreas </w:t>
      </w:r>
      <w:proofErr w:type="spellStart"/>
      <w:r w:rsidRPr="00BC60DD">
        <w:rPr>
          <w:rFonts w:ascii="Cambria" w:hAnsi="Cambria"/>
          <w:b/>
        </w:rPr>
        <w:t>Casse</w:t>
      </w:r>
      <w:proofErr w:type="spellEnd"/>
      <w:r>
        <w:rPr>
          <w:rFonts w:ascii="Cambria" w:hAnsi="Cambria"/>
        </w:rPr>
        <w:t xml:space="preserve">: </w:t>
      </w:r>
      <w:r w:rsidRPr="00BC60DD">
        <w:rPr>
          <w:rFonts w:ascii="Cambria" w:hAnsi="Cambria"/>
        </w:rPr>
        <w:t>Andreas, ist es in Ordnung, wenn wir dieses Gespräch aufzeichnen?</w:t>
      </w:r>
    </w:p>
    <w:p w14:paraId="5CCC63CD"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Andreas Müller</w:t>
      </w:r>
      <w:r>
        <w:rPr>
          <w:rFonts w:ascii="Cambria" w:hAnsi="Cambria"/>
        </w:rPr>
        <w:t xml:space="preserve">: </w:t>
      </w:r>
      <w:r w:rsidRPr="00BC60DD">
        <w:rPr>
          <w:rFonts w:ascii="Cambria" w:hAnsi="Cambria"/>
        </w:rPr>
        <w:t>Das ist okay, ja.</w:t>
      </w:r>
    </w:p>
    <w:p w14:paraId="281D98C0"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 xml:space="preserve">Andreas </w:t>
      </w:r>
      <w:proofErr w:type="spellStart"/>
      <w:r w:rsidRPr="00BC60DD">
        <w:rPr>
          <w:rFonts w:ascii="Cambria" w:hAnsi="Cambria"/>
          <w:b/>
        </w:rPr>
        <w:t>Cassee</w:t>
      </w:r>
      <w:proofErr w:type="spellEnd"/>
      <w:r>
        <w:rPr>
          <w:rFonts w:ascii="Cambria" w:hAnsi="Cambria"/>
        </w:rPr>
        <w:t xml:space="preserve"> (</w:t>
      </w:r>
      <w:r w:rsidRPr="00BC60DD">
        <w:rPr>
          <w:rFonts w:ascii="Cambria" w:hAnsi="Cambria"/>
        </w:rPr>
        <w:t>00:11):</w:t>
      </w:r>
      <w:r>
        <w:rPr>
          <w:rFonts w:ascii="Cambria" w:hAnsi="Cambria"/>
        </w:rPr>
        <w:t xml:space="preserve"> </w:t>
      </w:r>
      <w:r w:rsidRPr="00BC60DD">
        <w:rPr>
          <w:rFonts w:ascii="Cambria" w:hAnsi="Cambria"/>
        </w:rPr>
        <w:t xml:space="preserve">Der Mann, der gerade in die Aufzeichnung eingewilligt hat, ist Andreas Müller. Mit ihm wollen wir heute diskutieren, wie das eigentlich funktioniert – die Einwilligung. Ein kurzes „Ja“ oder auch nur ein Nicken kann moralisch einen großen Unterschied machen. Nicht nur, wenn es um die Aufzeichnung </w:t>
      </w:r>
      <w:proofErr w:type="gramStart"/>
      <w:r w:rsidRPr="00BC60DD">
        <w:rPr>
          <w:rFonts w:ascii="Cambria" w:hAnsi="Cambria"/>
        </w:rPr>
        <w:t>eines Podcasts</w:t>
      </w:r>
      <w:proofErr w:type="gramEnd"/>
      <w:r w:rsidRPr="00BC60DD">
        <w:rPr>
          <w:rFonts w:ascii="Cambria" w:hAnsi="Cambria"/>
        </w:rPr>
        <w:t xml:space="preserve"> geht, sondern beispielsweise auch bei medizinischen Eingriffen oder bei sexuellen Handlungen. Aber was genau verändert sich eigentlich an der normativen Situation, wenn eine Person ihre Einwilligung gibt? Und wann gilt eine sprachliche oder auch nonverbale Äußerung überhaupt als eine erfolgreiche Einwilligung?</w:t>
      </w:r>
    </w:p>
    <w:p w14:paraId="1279B919" w14:textId="77777777" w:rsidR="005F04F3" w:rsidRDefault="005F04F3" w:rsidP="005F04F3">
      <w:pPr>
        <w:spacing w:afterLines="60" w:after="144" w:line="276" w:lineRule="auto"/>
        <w:jc w:val="both"/>
        <w:rPr>
          <w:rFonts w:ascii="Cambria" w:hAnsi="Cambria"/>
        </w:rPr>
      </w:pPr>
      <w:r w:rsidRPr="00BC60DD">
        <w:rPr>
          <w:rFonts w:ascii="Cambria" w:hAnsi="Cambria"/>
          <w:b/>
        </w:rPr>
        <w:t>Anna Goppel</w:t>
      </w:r>
      <w:r w:rsidRPr="00BC60DD">
        <w:rPr>
          <w:rFonts w:ascii="Cambria" w:hAnsi="Cambria"/>
        </w:rPr>
        <w:t xml:space="preserve"> (00:49):</w:t>
      </w:r>
      <w:r>
        <w:rPr>
          <w:rFonts w:ascii="Cambria" w:hAnsi="Cambria"/>
        </w:rPr>
        <w:t xml:space="preserve"> </w:t>
      </w:r>
      <w:r w:rsidRPr="00BC60DD">
        <w:rPr>
          <w:rFonts w:ascii="Cambria" w:hAnsi="Cambria"/>
        </w:rPr>
        <w:t xml:space="preserve">Mit diesen Fragen soll uns heute unser Gast Andreas Müller weiterhelfen. Er ist Assistenzprofessor für praktische Philosophie hier an der Universität Bern und er befasst sich seit einiger Zeit mit dem Thema der Einwilligung. Erst kürzlich ist das </w:t>
      </w:r>
      <w:r w:rsidRPr="00BC60DD">
        <w:rPr>
          <w:rFonts w:ascii="Cambria" w:hAnsi="Cambria"/>
          <w:i/>
          <w:iCs/>
        </w:rPr>
        <w:t xml:space="preserve">Routledge Handbook </w:t>
      </w:r>
      <w:proofErr w:type="spellStart"/>
      <w:r w:rsidRPr="00BC60DD">
        <w:rPr>
          <w:rFonts w:ascii="Cambria" w:hAnsi="Cambria"/>
          <w:i/>
          <w:iCs/>
        </w:rPr>
        <w:t>of</w:t>
      </w:r>
      <w:proofErr w:type="spellEnd"/>
      <w:r w:rsidRPr="00BC60DD">
        <w:rPr>
          <w:rFonts w:ascii="Cambria" w:hAnsi="Cambria"/>
          <w:i/>
          <w:iCs/>
        </w:rPr>
        <w:t xml:space="preserve"> </w:t>
      </w:r>
      <w:proofErr w:type="spellStart"/>
      <w:r w:rsidRPr="00BC60DD">
        <w:rPr>
          <w:rFonts w:ascii="Cambria" w:hAnsi="Cambria"/>
          <w:i/>
          <w:iCs/>
        </w:rPr>
        <w:t>the</w:t>
      </w:r>
      <w:proofErr w:type="spellEnd"/>
      <w:r w:rsidRPr="00BC60DD">
        <w:rPr>
          <w:rFonts w:ascii="Cambria" w:hAnsi="Cambria"/>
          <w:i/>
          <w:iCs/>
        </w:rPr>
        <w:t xml:space="preserve"> </w:t>
      </w:r>
      <w:proofErr w:type="spellStart"/>
      <w:r w:rsidRPr="00BC60DD">
        <w:rPr>
          <w:rFonts w:ascii="Cambria" w:hAnsi="Cambria"/>
          <w:i/>
          <w:iCs/>
        </w:rPr>
        <w:t>Ethics</w:t>
      </w:r>
      <w:proofErr w:type="spellEnd"/>
      <w:r w:rsidRPr="00BC60DD">
        <w:rPr>
          <w:rFonts w:ascii="Cambria" w:hAnsi="Cambria"/>
          <w:i/>
          <w:iCs/>
        </w:rPr>
        <w:t xml:space="preserve"> </w:t>
      </w:r>
      <w:proofErr w:type="spellStart"/>
      <w:r w:rsidRPr="00BC60DD">
        <w:rPr>
          <w:rFonts w:ascii="Cambria" w:hAnsi="Cambria"/>
          <w:i/>
          <w:iCs/>
        </w:rPr>
        <w:t>of</w:t>
      </w:r>
      <w:proofErr w:type="spellEnd"/>
      <w:r w:rsidRPr="00BC60DD">
        <w:rPr>
          <w:rFonts w:ascii="Cambria" w:hAnsi="Cambria"/>
          <w:i/>
          <w:iCs/>
        </w:rPr>
        <w:t xml:space="preserve"> </w:t>
      </w:r>
      <w:proofErr w:type="spellStart"/>
      <w:r w:rsidRPr="00BC60DD">
        <w:rPr>
          <w:rFonts w:ascii="Cambria" w:hAnsi="Cambria"/>
          <w:i/>
          <w:iCs/>
        </w:rPr>
        <w:t>Consent</w:t>
      </w:r>
      <w:proofErr w:type="spellEnd"/>
      <w:r w:rsidRPr="00BC60DD">
        <w:rPr>
          <w:rFonts w:ascii="Cambria" w:hAnsi="Cambria"/>
        </w:rPr>
        <w:t xml:space="preserve"> erschienen, </w:t>
      </w:r>
      <w:proofErr w:type="gramStart"/>
      <w:r w:rsidRPr="00BC60DD">
        <w:rPr>
          <w:rFonts w:ascii="Cambria" w:hAnsi="Cambria"/>
        </w:rPr>
        <w:t>das</w:t>
      </w:r>
      <w:proofErr w:type="gramEnd"/>
      <w:r w:rsidRPr="00BC60DD">
        <w:rPr>
          <w:rFonts w:ascii="Cambria" w:hAnsi="Cambria"/>
        </w:rPr>
        <w:t xml:space="preserve"> er gemeinsam mit Peter Schaber herausgegeben hat. </w:t>
      </w:r>
    </w:p>
    <w:p w14:paraId="62BEA229" w14:textId="77777777" w:rsidR="005F04F3" w:rsidRDefault="005F04F3" w:rsidP="005F04F3">
      <w:pPr>
        <w:spacing w:afterLines="60" w:after="144" w:line="276" w:lineRule="auto"/>
        <w:jc w:val="both"/>
        <w:rPr>
          <w:rFonts w:ascii="Cambria" w:hAnsi="Cambria"/>
        </w:rPr>
      </w:pPr>
      <w:r w:rsidRPr="00BC60DD">
        <w:rPr>
          <w:rFonts w:ascii="Cambria" w:hAnsi="Cambria"/>
        </w:rPr>
        <w:t>Andreas, lass uns mit der Frage beginnen, was Einwilligung eigentlich ist. Handelt es sich dabei um einen Ausdruck des Willens, dass eine Handlung ausgeführt werden soll, oder ist es vielleicht eine Erlaubnis, diese Handlung auszuführen oder ist es vielleicht etwas ganz anderes?</w:t>
      </w:r>
    </w:p>
    <w:p w14:paraId="465FF3EF"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 xml:space="preserve">Du sprichst es schon an. Genau, ich glaube, dass es hilfreich ist, die beiden Sachen, die du gerade benannt hast, zu unterscheiden. Die beiden Sachen gehen zwar meistens miteinander einher im Alltag. Also im Alltag ist es so, dass in den meisten Fällen, in denen wir in eine Handlung einwilligen, wir auch wollen, dass die Person, der gegenüber wir in die Handlung einwilligen, die Handlung auch ausführt, d.h. in den Fällen ist beides der Fall. Wir wollen, dass die Handlung ausgeführt wird und, ich glaube, </w:t>
      </w:r>
      <w:proofErr w:type="gramStart"/>
      <w:r w:rsidRPr="00BC60DD">
        <w:rPr>
          <w:rFonts w:ascii="Cambria" w:hAnsi="Cambria"/>
        </w:rPr>
        <w:t>das</w:t>
      </w:r>
      <w:proofErr w:type="gramEnd"/>
      <w:r w:rsidRPr="00BC60DD">
        <w:rPr>
          <w:rFonts w:ascii="Cambria" w:hAnsi="Cambria"/>
        </w:rPr>
        <w:t xml:space="preserve"> was für die Einwilligung eben spezifisch ist, ist dass wir wollen, dass die Handlung erlaubt ist oder genauer, dass die Handlung nicht ein Recht von mir verletzt, wenn ich einwillige. D.h. im Alltag geht es häufig miteinander einher. Ich glaube aber, dass zur Einwilligung nur das zweite gehört. Also nur das Wollen, dass die Handlung nicht ein Recht von mir verletzt, das Wollen, dass die Handlung mir gegenüber erlaubt ist. Und das kann in bestimmten Fällen vom Wollen der Handlung, vom Wollen, dass die Handlung ausgeführt wird, sozusagen auseinanderfallen. Ein nicht ganz so weit hergeholtes Beispiel, mit dem das manchmal oder häufig illustriert wird ist, wenn man eine Gartenparty veranstaltet und dort allerlei Personen einlädt, darunter auch jemanden, den man eigentlich wirklich nicht dabei haben möchte, den man aber einzuladen müssen meint, weil die Person sonst </w:t>
      </w:r>
      <w:r w:rsidRPr="00BC60DD">
        <w:rPr>
          <w:rFonts w:ascii="Cambria" w:hAnsi="Cambria"/>
        </w:rPr>
        <w:lastRenderedPageBreak/>
        <w:t>beleidigt ist und dann lädt man die Person ein und erteilt ihr damit die Erlaubnis zu kommen. Also die Person begeht keinen Hausfriedensbruch, wenn sie dann in den Garten zur Feier kommt, obwohl man nicht will, dass die Person kommt. Das heißt, da macht man etwas erlaubt, von dem man zugleich nicht möchte, dass die Person die Handlung auch ausführt.</w:t>
      </w:r>
    </w:p>
    <w:p w14:paraId="6A1DE705"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Anna Goppel</w:t>
      </w:r>
      <w:r w:rsidRPr="00BC60DD">
        <w:rPr>
          <w:rFonts w:ascii="Cambria" w:hAnsi="Cambria"/>
        </w:rPr>
        <w:t xml:space="preserve"> (02:58):</w:t>
      </w:r>
      <w:r>
        <w:rPr>
          <w:rFonts w:ascii="Cambria" w:hAnsi="Cambria"/>
        </w:rPr>
        <w:t xml:space="preserve"> </w:t>
      </w:r>
      <w:r w:rsidRPr="00BC60DD">
        <w:rPr>
          <w:rFonts w:ascii="Cambria" w:hAnsi="Cambria"/>
        </w:rPr>
        <w:t>Jetzt hast du gesagt Einwilligung ist, dass man will, dass eine Handlung erlaubt ist. Genügt es, dass ich mir das einfach so vorstelle: Also ich will jetzt, dass du das machen darfst oder muss man das irgendwie kommunizieren?</w:t>
      </w:r>
    </w:p>
    <w:p w14:paraId="1834AACC"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Also ich glaube, dass du es bloß intern willst oder intern den Wunsch hast, reicht nicht. Ich glaube es ist dafür, dass es erfolgreich darin ist, die Handlung zu einer erlaubten zu machen auch nötig, dass du das kommunizierst. Auf die eine oder andere Weise. Das muss nicht durch Worte geschehen. Das kann auch durch Nicken oder durch eine Unterschrift geschehen. Es ist kontrovers, ob das nur deshalb erforderlich ist, weil ich ja sonst gar nicht weiß, was in deinem Kopf sich abspielt; dass also die eigentliche Einwilligung in deinem Kopf ist und die eigentliche Kommunikation mir nur hinreichend Evidenz dafür gibt, dass du da in deinem Kopf eingewilligt hast. Ich glaube es ist ein bisschen mehr. Ich glaube es gehört tatsächlich konstitutiv zur Einwilligung dazu, dass man da auch einen bestimmten Sprechakt oder einen bestimmten Kommunikationsakt vollzieht.</w:t>
      </w:r>
    </w:p>
    <w:p w14:paraId="378910E1"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Anna Goppel</w:t>
      </w:r>
      <w:r w:rsidRPr="00BC60DD">
        <w:rPr>
          <w:rFonts w:ascii="Cambria" w:hAnsi="Cambria"/>
        </w:rPr>
        <w:t xml:space="preserve"> (03:54):</w:t>
      </w:r>
      <w:r>
        <w:rPr>
          <w:rFonts w:ascii="Cambria" w:hAnsi="Cambria"/>
        </w:rPr>
        <w:t xml:space="preserve"> </w:t>
      </w:r>
      <w:r w:rsidRPr="00BC60DD">
        <w:rPr>
          <w:rFonts w:ascii="Cambria" w:hAnsi="Cambria"/>
        </w:rPr>
        <w:t>Und der muss sich auch an die andere Person richten? Also wenn ich das aufgeschrieben habe und ich lasse das jetzt auf meinem Tisch liegen: „Ich würde gerne, dass Andreas Müller erlaubt ist, zu meiner Gartenparty zu kommen“ und du findest das. Genügt das oder muss ich das direkt an dich richten?</w:t>
      </w:r>
    </w:p>
    <w:p w14:paraId="20594721"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 xml:space="preserve">Also ich glaube, es muss ein Kommunikationsakt sein und Kommunikationsakte haben ja einen Adressaten, an den sie gerichtet sind. Das heißt jetzt nicht unbedingt, dass du sozusagen persönlich zu mir kommen musst und diesen Zettel mir persönlich übergeben musst. Aber er muss irgendwie an mich gerichtet sein und als solcher auch verständlich sein. Also wenn du ihn mir ins Postfach legst oder mir auf den Schreibtisch legst, dann ist es gerichtet. Wenn ich sozusagen heimlich in deinem Tagebuch lese oder in deinen Notizen, in denen du so eine Teilnehmerliste hast, in der ich auch stehe, das reicht nicht. </w:t>
      </w:r>
    </w:p>
    <w:p w14:paraId="1C0A8A18" w14:textId="77777777" w:rsidR="005F04F3" w:rsidRPr="00BC60DD" w:rsidRDefault="005F04F3" w:rsidP="005F04F3">
      <w:pPr>
        <w:spacing w:afterLines="60" w:after="144" w:line="276" w:lineRule="auto"/>
        <w:jc w:val="both"/>
        <w:rPr>
          <w:rFonts w:ascii="Cambria" w:hAnsi="Cambria"/>
        </w:rPr>
      </w:pPr>
      <w:r w:rsidRPr="00BC60DD">
        <w:rPr>
          <w:rFonts w:ascii="Cambria" w:hAnsi="Cambria"/>
          <w:b/>
        </w:rPr>
        <w:t xml:space="preserve">Andreas </w:t>
      </w:r>
      <w:proofErr w:type="spellStart"/>
      <w:r w:rsidRPr="00BC60DD">
        <w:rPr>
          <w:rFonts w:ascii="Cambria" w:hAnsi="Cambria"/>
          <w:b/>
        </w:rPr>
        <w:t>Cassee</w:t>
      </w:r>
      <w:proofErr w:type="spellEnd"/>
      <w:r w:rsidRPr="00BC60DD">
        <w:rPr>
          <w:rFonts w:ascii="Cambria" w:hAnsi="Cambria"/>
        </w:rPr>
        <w:t xml:space="preserve"> (04:40):</w:t>
      </w:r>
      <w:r>
        <w:rPr>
          <w:rFonts w:ascii="Cambria" w:hAnsi="Cambria"/>
        </w:rPr>
        <w:t xml:space="preserve"> </w:t>
      </w:r>
      <w:r w:rsidRPr="00BC60DD">
        <w:rPr>
          <w:rFonts w:ascii="Cambria" w:hAnsi="Cambria"/>
        </w:rPr>
        <w:t xml:space="preserve">Einwilligung setzt also einen gerichteten kommunikativen Akt voraus. Ist umgekehrt jeder gerichtete kommunikative Akt mit dem Inhalt „Ich will, dass dir das halt erlaubt ist“ auch eine erfolgreiche Einwilligung, oder müssen da noch zusätzliche Bedingungen erfüllt sein? </w:t>
      </w:r>
    </w:p>
    <w:p w14:paraId="5B606AAC" w14:textId="5EF5DCC6" w:rsidR="005F04F3" w:rsidRDefault="005F04F3" w:rsidP="005F04F3">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 xml:space="preserve">Da müssen in der Tat noch eine ganze Reihe zusätzlicher Bedingungen erfüllt sein, dafür, dass die Einwilligung dann erfolgreich ist und moralisch etwas austrägt. Die Bedingungen, die da erfüllt sein müssen, fasst man meistens unter den Gültigkeitsbedingungen von Einwilligung zusammen. Die bekannteste ist vielleicht die Bedingung für informierte Einwilligung. Also die Person muss eine ganze Reihe von Informationen haben, um erfolgreich einwilligen zu können. Zunächst einmal muss sie wissen, dass das, </w:t>
      </w:r>
      <w:r w:rsidRPr="00BC60DD">
        <w:rPr>
          <w:rFonts w:ascii="Cambria" w:hAnsi="Cambria"/>
        </w:rPr>
        <w:lastRenderedPageBreak/>
        <w:t>was sie da sagt oder unterschreibt oder das Handzeichen, das sie gibt, überhaupt einen Akt der Einwilligung darstellt und dann muss sie über bestimmte wichtige Aspekte der Handlungen, in die sie da einwilligt, informiert sein. Also etwa, wenn damit bestimmte Risiken einhergehen. Das ist im Kontext der Medizin wichtig. Da wird man eben über Risiken und Nebenwirkungen der vorgeschlagenen Behandlung, in die man da einwilligt, aufgeklärt und sozusagen je nach Kontext, je nach Handlung, um die es geht, gibt es vielleicht noch weitere Informationen, die die Person haben muss, damit die Einwilligung gültig ist. Eine zweite Gültigkeitsbedingung neben der Informiertheit ist, dass die Person hinreichend kompetent ist. Damit ist gemeint, dass sie in der Lage ist, bestimmte Informationen zu verstehen und zu verarbeiten, also etwa nicht betrunken ist oder nicht anderweitig unzurechnungsfähig ist oder nicht erst drei Jahre alt. Also bestimmte Mindestkompetenzen und -fähigkeiten müssen vorhanden sein. Und eine dritte Gültigkeitsbedingung ist, dass die Person freiwillig handelt, also nicht zur Einwilligung gezwungen wird.</w:t>
      </w:r>
    </w:p>
    <w:p w14:paraId="42BAE095" w14:textId="77777777" w:rsidR="005F04F3" w:rsidRDefault="005F04F3" w:rsidP="005F04F3">
      <w:pPr>
        <w:spacing w:afterLines="60" w:after="144" w:line="276" w:lineRule="auto"/>
        <w:jc w:val="both"/>
        <w:rPr>
          <w:rFonts w:ascii="Cambria" w:hAnsi="Cambria"/>
        </w:rPr>
        <w:sectPr w:rsidR="005F04F3" w:rsidSect="005F04F3">
          <w:type w:val="continuous"/>
          <w:pgSz w:w="11900" w:h="16840"/>
          <w:pgMar w:top="1418" w:right="1418" w:bottom="1134" w:left="1418" w:header="709" w:footer="709" w:gutter="0"/>
          <w:lnNumType w:countBy="3" w:restart="newSection"/>
          <w:cols w:space="708"/>
          <w:docGrid w:linePitch="360"/>
        </w:sectPr>
      </w:pPr>
    </w:p>
    <w:p w14:paraId="69A04F76" w14:textId="5EE4C00B" w:rsidR="005F04F3" w:rsidRPr="006F3418" w:rsidRDefault="005F04F3" w:rsidP="00F45524">
      <w:pPr>
        <w:spacing w:line="276" w:lineRule="auto"/>
        <w:rPr>
          <w:rFonts w:ascii="Cambria" w:hAnsi="Cambria"/>
          <w:color w:val="000000" w:themeColor="text1"/>
          <w:sz w:val="20"/>
          <w:szCs w:val="20"/>
        </w:rPr>
      </w:pPr>
      <w:r w:rsidRPr="006F3418">
        <w:rPr>
          <w:rFonts w:ascii="Cambria" w:hAnsi="Cambria"/>
          <w:b/>
          <w:color w:val="000000" w:themeColor="text1"/>
          <w:sz w:val="20"/>
          <w:szCs w:val="20"/>
        </w:rPr>
        <w:t>Quelle</w:t>
      </w:r>
      <w:r w:rsidRPr="006F3418">
        <w:rPr>
          <w:rFonts w:ascii="Cambria" w:hAnsi="Cambria"/>
          <w:color w:val="000000" w:themeColor="text1"/>
          <w:sz w:val="20"/>
          <w:szCs w:val="20"/>
        </w:rPr>
        <w:t>:</w:t>
      </w:r>
      <w:r w:rsidR="00DE5D1B" w:rsidRPr="006F3418">
        <w:rPr>
          <w:rFonts w:ascii="Cambria" w:hAnsi="Cambria"/>
          <w:color w:val="000000" w:themeColor="text1"/>
          <w:sz w:val="20"/>
          <w:szCs w:val="20"/>
        </w:rPr>
        <w:t xml:space="preserve"> Andreas Müller</w:t>
      </w:r>
      <w:r w:rsidR="00F45524">
        <w:rPr>
          <w:rFonts w:ascii="Cambria" w:hAnsi="Cambria"/>
          <w:color w:val="000000" w:themeColor="text1"/>
          <w:sz w:val="20"/>
          <w:szCs w:val="20"/>
        </w:rPr>
        <w:t xml:space="preserve"> (2018)</w:t>
      </w:r>
      <w:r w:rsidR="00DE5D1B" w:rsidRPr="006F3418">
        <w:rPr>
          <w:rFonts w:ascii="Cambria" w:hAnsi="Cambria"/>
          <w:color w:val="000000" w:themeColor="text1"/>
          <w:sz w:val="20"/>
          <w:szCs w:val="20"/>
        </w:rPr>
        <w:t xml:space="preserve">: Einwilligung. </w:t>
      </w:r>
      <w:r w:rsidR="00C70B17">
        <w:rPr>
          <w:rFonts w:ascii="Cambria" w:hAnsi="Cambria"/>
          <w:color w:val="000000" w:themeColor="text1"/>
          <w:sz w:val="20"/>
          <w:szCs w:val="20"/>
        </w:rPr>
        <w:t xml:space="preserve">Aus: </w:t>
      </w:r>
      <w:r w:rsidR="00DE5D1B" w:rsidRPr="006F3418">
        <w:rPr>
          <w:rFonts w:ascii="Cambria" w:hAnsi="Cambria"/>
          <w:color w:val="000000" w:themeColor="text1"/>
          <w:sz w:val="20"/>
          <w:szCs w:val="20"/>
        </w:rPr>
        <w:t xml:space="preserve">Andreas </w:t>
      </w:r>
      <w:proofErr w:type="spellStart"/>
      <w:r w:rsidR="00DE5D1B" w:rsidRPr="006F3418">
        <w:rPr>
          <w:rFonts w:ascii="Cambria" w:hAnsi="Cambria"/>
          <w:color w:val="000000" w:themeColor="text1"/>
          <w:sz w:val="20"/>
          <w:szCs w:val="20"/>
        </w:rPr>
        <w:t>Cassee</w:t>
      </w:r>
      <w:proofErr w:type="spellEnd"/>
      <w:r w:rsidR="00DE5D1B" w:rsidRPr="006F3418">
        <w:rPr>
          <w:rFonts w:ascii="Cambria" w:hAnsi="Cambria"/>
          <w:color w:val="000000" w:themeColor="text1"/>
          <w:sz w:val="20"/>
          <w:szCs w:val="20"/>
        </w:rPr>
        <w:t xml:space="preserve"> und Anna Goppel: Hinterfragt – Der Ethik-Podcast, online unter: </w:t>
      </w:r>
      <w:hyperlink r:id="rId12" w:history="1">
        <w:r w:rsidR="00DE5D1B" w:rsidRPr="006F3418">
          <w:rPr>
            <w:rStyle w:val="Hyperlink"/>
            <w:rFonts w:ascii="Cambria" w:hAnsi="Cambria"/>
            <w:color w:val="000000" w:themeColor="text1"/>
            <w:sz w:val="20"/>
            <w:szCs w:val="20"/>
          </w:rPr>
          <w:t>https://www.philosophie.unibe.ch/ueber_uns/aktuell/podcast/index_ger.html</w:t>
        </w:r>
      </w:hyperlink>
      <w:r w:rsidR="00DE5D1B" w:rsidRPr="006F3418">
        <w:rPr>
          <w:rFonts w:ascii="Cambria" w:hAnsi="Cambria"/>
          <w:color w:val="000000" w:themeColor="text1"/>
          <w:sz w:val="20"/>
          <w:szCs w:val="20"/>
        </w:rPr>
        <w:t xml:space="preserve">, </w:t>
      </w:r>
      <w:r w:rsidRPr="006F3418">
        <w:rPr>
          <w:rFonts w:ascii="Cambria" w:hAnsi="Cambria"/>
          <w:color w:val="000000" w:themeColor="text1"/>
          <w:sz w:val="20"/>
          <w:szCs w:val="20"/>
        </w:rPr>
        <w:t xml:space="preserve">letzter Zugriff: </w:t>
      </w:r>
      <w:r w:rsidR="006F3418">
        <w:rPr>
          <w:rFonts w:ascii="Cambria" w:hAnsi="Cambria"/>
          <w:color w:val="000000" w:themeColor="text1"/>
          <w:sz w:val="20"/>
          <w:szCs w:val="20"/>
        </w:rPr>
        <w:t>01</w:t>
      </w:r>
      <w:r w:rsidRPr="006F3418">
        <w:rPr>
          <w:rFonts w:ascii="Cambria" w:hAnsi="Cambria"/>
          <w:color w:val="000000" w:themeColor="text1"/>
          <w:sz w:val="20"/>
          <w:szCs w:val="20"/>
        </w:rPr>
        <w:t>.1</w:t>
      </w:r>
      <w:r w:rsidR="006F3418">
        <w:rPr>
          <w:rFonts w:ascii="Cambria" w:hAnsi="Cambria"/>
          <w:color w:val="000000" w:themeColor="text1"/>
          <w:sz w:val="20"/>
          <w:szCs w:val="20"/>
        </w:rPr>
        <w:t>1</w:t>
      </w:r>
      <w:r w:rsidRPr="006F3418">
        <w:rPr>
          <w:rFonts w:ascii="Cambria" w:hAnsi="Cambria"/>
          <w:color w:val="000000" w:themeColor="text1"/>
          <w:sz w:val="20"/>
          <w:szCs w:val="20"/>
        </w:rPr>
        <w:t>.2020</w:t>
      </w:r>
      <w:r w:rsidR="00DE5D1B" w:rsidRPr="006F3418">
        <w:rPr>
          <w:rFonts w:ascii="Cambria" w:hAnsi="Cambria"/>
          <w:color w:val="000000" w:themeColor="text1"/>
          <w:sz w:val="20"/>
          <w:szCs w:val="20"/>
        </w:rPr>
        <w:t>.</w:t>
      </w:r>
      <w:r w:rsidR="00B51544" w:rsidRPr="006F3418">
        <w:rPr>
          <w:rFonts w:ascii="Cambria" w:hAnsi="Cambria"/>
          <w:color w:val="000000" w:themeColor="text1"/>
          <w:sz w:val="20"/>
          <w:szCs w:val="20"/>
        </w:rPr>
        <w:t xml:space="preserve"> </w:t>
      </w:r>
    </w:p>
    <w:p w14:paraId="3894B56F" w14:textId="77777777" w:rsidR="005F04F3" w:rsidRDefault="005F04F3" w:rsidP="00F42105">
      <w:pPr>
        <w:spacing w:line="276" w:lineRule="auto"/>
        <w:jc w:val="both"/>
        <w:rPr>
          <w:rFonts w:ascii="Cambria" w:hAnsi="Cambria"/>
        </w:rPr>
      </w:pPr>
    </w:p>
    <w:p w14:paraId="4B99056E" w14:textId="46154213" w:rsidR="005F04F3" w:rsidRDefault="005F04F3" w:rsidP="00F42105">
      <w:pPr>
        <w:spacing w:line="276" w:lineRule="auto"/>
        <w:jc w:val="both"/>
        <w:rPr>
          <w:rFonts w:ascii="Cambria" w:hAnsi="Cambria"/>
        </w:rPr>
        <w:sectPr w:rsidR="005F04F3" w:rsidSect="005F04F3">
          <w:type w:val="continuous"/>
          <w:pgSz w:w="11900" w:h="16840"/>
          <w:pgMar w:top="1417" w:right="1417" w:bottom="1134" w:left="1417" w:header="708" w:footer="708" w:gutter="0"/>
          <w:cols w:space="708"/>
          <w:docGrid w:linePitch="360"/>
        </w:sectPr>
      </w:pPr>
    </w:p>
    <w:p w14:paraId="56762860" w14:textId="20428342" w:rsidR="00F42105" w:rsidRDefault="00F42105" w:rsidP="00F42105">
      <w:pPr>
        <w:spacing w:line="276" w:lineRule="auto"/>
        <w:jc w:val="both"/>
        <w:rPr>
          <w:rFonts w:ascii="Cambria" w:hAnsi="Cambria"/>
          <w:b/>
        </w:rPr>
      </w:pPr>
      <w:r w:rsidRPr="00F42105">
        <w:rPr>
          <w:rFonts w:ascii="Cambria" w:hAnsi="Cambria"/>
          <w:b/>
        </w:rPr>
        <w:lastRenderedPageBreak/>
        <w:t>M3 Zur moralische</w:t>
      </w:r>
      <w:r w:rsidR="00AE184C">
        <w:rPr>
          <w:rFonts w:ascii="Cambria" w:hAnsi="Cambria"/>
          <w:b/>
        </w:rPr>
        <w:t>n Bedeutung</w:t>
      </w:r>
      <w:r w:rsidRPr="00F42105">
        <w:rPr>
          <w:rFonts w:ascii="Cambria" w:hAnsi="Cambria"/>
          <w:b/>
        </w:rPr>
        <w:t xml:space="preserve"> von Einwilligung </w:t>
      </w:r>
    </w:p>
    <w:p w14:paraId="1299C43A" w14:textId="3593DCA9" w:rsidR="00F42105" w:rsidRDefault="00F42105" w:rsidP="00F42105">
      <w:pPr>
        <w:spacing w:line="276" w:lineRule="auto"/>
        <w:jc w:val="both"/>
        <w:rPr>
          <w:rFonts w:ascii="Cambria" w:hAnsi="Cambria"/>
        </w:rPr>
      </w:pPr>
    </w:p>
    <w:p w14:paraId="465CC2CA" w14:textId="60366CB5" w:rsidR="00F42105" w:rsidRDefault="00F42105" w:rsidP="00F42105">
      <w:pPr>
        <w:spacing w:line="276" w:lineRule="auto"/>
        <w:jc w:val="both"/>
        <w:rPr>
          <w:rFonts w:ascii="Cambria" w:hAnsi="Cambria"/>
        </w:rPr>
      </w:pPr>
      <w:r>
        <w:rPr>
          <w:rFonts w:ascii="Cambria" w:hAnsi="Cambria"/>
        </w:rPr>
        <w:t xml:space="preserve">Wir haben gesehen, dass Einwilligung </w:t>
      </w:r>
      <w:r w:rsidR="0046412A">
        <w:rPr>
          <w:rFonts w:ascii="Cambria" w:hAnsi="Cambria"/>
        </w:rPr>
        <w:t xml:space="preserve">in ganz unterschiedlichen Kontexten </w:t>
      </w:r>
      <w:r w:rsidR="004D61DE">
        <w:rPr>
          <w:rFonts w:ascii="Cambria" w:hAnsi="Cambria"/>
        </w:rPr>
        <w:t>offenbar von großer</w:t>
      </w:r>
      <w:r>
        <w:rPr>
          <w:rFonts w:ascii="Cambria" w:hAnsi="Cambria"/>
        </w:rPr>
        <w:t xml:space="preserve"> </w:t>
      </w:r>
      <w:r w:rsidR="00E2056D">
        <w:rPr>
          <w:rFonts w:ascii="Cambria" w:hAnsi="Cambria"/>
        </w:rPr>
        <w:t xml:space="preserve">moralischer </w:t>
      </w:r>
      <w:r>
        <w:rPr>
          <w:rFonts w:ascii="Cambria" w:hAnsi="Cambria"/>
        </w:rPr>
        <w:t>Bedeutung sein kann</w:t>
      </w:r>
      <w:r w:rsidR="0046412A" w:rsidRPr="00E2056D">
        <w:rPr>
          <w:rFonts w:ascii="Cambria" w:hAnsi="Cambria"/>
        </w:rPr>
        <w:t>. Aber</w:t>
      </w:r>
      <w:r w:rsidR="0046412A">
        <w:rPr>
          <w:rFonts w:ascii="Cambria" w:hAnsi="Cambria"/>
        </w:rPr>
        <w:t xml:space="preserve"> wie ist es möglich, dass bestimmte Einstellungen und Äußerungen eine solche </w:t>
      </w:r>
      <w:r w:rsidR="00E2056D">
        <w:rPr>
          <w:rFonts w:ascii="Cambria" w:hAnsi="Cambria"/>
        </w:rPr>
        <w:t>Bedeutung</w:t>
      </w:r>
      <w:r w:rsidR="0046412A">
        <w:rPr>
          <w:rFonts w:ascii="Cambria" w:hAnsi="Cambria"/>
        </w:rPr>
        <w:t xml:space="preserve"> haben? </w:t>
      </w:r>
    </w:p>
    <w:p w14:paraId="4DDBEF00" w14:textId="77777777" w:rsidR="0046412A" w:rsidRDefault="0046412A" w:rsidP="00F42105">
      <w:pPr>
        <w:spacing w:line="276" w:lineRule="auto"/>
        <w:jc w:val="both"/>
        <w:rPr>
          <w:rFonts w:ascii="Cambria" w:hAnsi="Cambria"/>
        </w:rPr>
      </w:pPr>
    </w:p>
    <w:p w14:paraId="43012F28" w14:textId="77777777" w:rsidR="0046412A" w:rsidRPr="0046412A" w:rsidRDefault="0046412A" w:rsidP="00F42105">
      <w:pPr>
        <w:spacing w:line="276" w:lineRule="auto"/>
        <w:jc w:val="both"/>
        <w:rPr>
          <w:rFonts w:ascii="Cambria" w:hAnsi="Cambria"/>
          <w:b/>
        </w:rPr>
      </w:pPr>
      <w:r w:rsidRPr="0046412A">
        <w:rPr>
          <w:rFonts w:ascii="Cambria" w:hAnsi="Cambria"/>
          <w:b/>
        </w:rPr>
        <w:t xml:space="preserve">Aufgaben </w:t>
      </w:r>
    </w:p>
    <w:p w14:paraId="0CE1C2D0" w14:textId="2461C7EC" w:rsidR="00977EC9" w:rsidRPr="00977EC9" w:rsidRDefault="00977EC9" w:rsidP="00977EC9">
      <w:pPr>
        <w:spacing w:line="276" w:lineRule="auto"/>
        <w:jc w:val="both"/>
        <w:rPr>
          <w:rFonts w:ascii="Cambria" w:hAnsi="Cambria"/>
        </w:rPr>
      </w:pPr>
    </w:p>
    <w:p w14:paraId="400E8D3F" w14:textId="3B5C22F6" w:rsidR="00F50B4B" w:rsidRDefault="00977EC9" w:rsidP="00F50B4B">
      <w:pPr>
        <w:pStyle w:val="Listenabsatz"/>
        <w:numPr>
          <w:ilvl w:val="0"/>
          <w:numId w:val="8"/>
        </w:numPr>
        <w:spacing w:line="276" w:lineRule="auto"/>
        <w:ind w:left="426" w:hanging="426"/>
        <w:jc w:val="both"/>
        <w:rPr>
          <w:rFonts w:ascii="Cambria" w:hAnsi="Cambria"/>
        </w:rPr>
      </w:pPr>
      <w:r>
        <w:rPr>
          <w:rFonts w:ascii="Cambria" w:hAnsi="Cambria"/>
        </w:rPr>
        <w:t xml:space="preserve">Seht euch noch einmal eure Begründungen aus </w:t>
      </w:r>
      <w:r w:rsidRPr="001962D4">
        <w:rPr>
          <w:rFonts w:ascii="Cambria" w:hAnsi="Cambria"/>
          <w:b/>
        </w:rPr>
        <w:t>M1</w:t>
      </w:r>
      <w:r>
        <w:rPr>
          <w:rFonts w:ascii="Cambria" w:hAnsi="Cambria"/>
        </w:rPr>
        <w:t xml:space="preserve">, Aufgabe </w:t>
      </w:r>
      <w:r w:rsidR="00E2056D">
        <w:rPr>
          <w:rFonts w:ascii="Cambria" w:hAnsi="Cambria"/>
        </w:rPr>
        <w:t>2</w:t>
      </w:r>
      <w:r>
        <w:rPr>
          <w:rFonts w:ascii="Cambria" w:hAnsi="Cambria"/>
        </w:rPr>
        <w:t xml:space="preserve"> dafür an, warum </w:t>
      </w:r>
      <w:r w:rsidR="007E133C">
        <w:rPr>
          <w:rFonts w:ascii="Cambria" w:hAnsi="Cambria"/>
        </w:rPr>
        <w:t xml:space="preserve">die </w:t>
      </w:r>
      <w:r w:rsidRPr="00977EC9">
        <w:rPr>
          <w:rFonts w:ascii="Cambria" w:hAnsi="Cambria"/>
        </w:rPr>
        <w:t xml:space="preserve">Einwilligung in </w:t>
      </w:r>
      <w:r w:rsidR="007E133C">
        <w:rPr>
          <w:rFonts w:ascii="Cambria" w:hAnsi="Cambria"/>
        </w:rPr>
        <w:t xml:space="preserve">eine </w:t>
      </w:r>
      <w:r w:rsidRPr="00977EC9">
        <w:rPr>
          <w:rFonts w:ascii="Cambria" w:hAnsi="Cambria"/>
        </w:rPr>
        <w:t xml:space="preserve">Handlung in </w:t>
      </w:r>
      <w:r>
        <w:rPr>
          <w:rFonts w:ascii="Cambria" w:hAnsi="Cambria"/>
        </w:rPr>
        <w:t xml:space="preserve">verschiedenen </w:t>
      </w:r>
      <w:r w:rsidRPr="00977EC9">
        <w:rPr>
          <w:rFonts w:ascii="Cambria" w:hAnsi="Cambria"/>
        </w:rPr>
        <w:t xml:space="preserve">Situationen </w:t>
      </w:r>
      <w:r w:rsidR="00340EAB">
        <w:rPr>
          <w:rFonts w:ascii="Cambria" w:hAnsi="Cambria"/>
        </w:rPr>
        <w:t xml:space="preserve">moralisch </w:t>
      </w:r>
      <w:r w:rsidRPr="00977EC9">
        <w:rPr>
          <w:rFonts w:ascii="Cambria" w:hAnsi="Cambria"/>
        </w:rPr>
        <w:t>so wichtig sein könnte.</w:t>
      </w:r>
      <w:r w:rsidR="00F50B4B">
        <w:rPr>
          <w:rFonts w:ascii="Cambria" w:hAnsi="Cambria"/>
        </w:rPr>
        <w:t xml:space="preserve"> Überarbeitet diese </w:t>
      </w:r>
      <w:r w:rsidR="004D61DE">
        <w:rPr>
          <w:rFonts w:ascii="Cambria" w:hAnsi="Cambria"/>
        </w:rPr>
        <w:t xml:space="preserve">ggf. </w:t>
      </w:r>
      <w:r w:rsidR="00F50B4B">
        <w:rPr>
          <w:rFonts w:ascii="Cambria" w:hAnsi="Cambria"/>
        </w:rPr>
        <w:t>vor dem Hintergrund dessen, was ihr bisher über Einwilligung gelernt habt.</w:t>
      </w:r>
    </w:p>
    <w:p w14:paraId="3341A628" w14:textId="77777777" w:rsidR="002D1EDA" w:rsidRDefault="00874D60" w:rsidP="00F50B4B">
      <w:pPr>
        <w:pStyle w:val="Listenabsatz"/>
        <w:numPr>
          <w:ilvl w:val="0"/>
          <w:numId w:val="8"/>
        </w:numPr>
        <w:spacing w:line="276" w:lineRule="auto"/>
        <w:ind w:left="426" w:hanging="426"/>
        <w:jc w:val="both"/>
        <w:rPr>
          <w:rFonts w:ascii="Cambria" w:hAnsi="Cambria"/>
        </w:rPr>
      </w:pPr>
      <w:r w:rsidRPr="00F50B4B">
        <w:rPr>
          <w:rFonts w:ascii="Cambria" w:hAnsi="Cambria"/>
        </w:rPr>
        <w:t>Hört oder lest</w:t>
      </w:r>
      <w:r w:rsidR="00320124" w:rsidRPr="00F50B4B">
        <w:rPr>
          <w:rFonts w:ascii="Cambria" w:hAnsi="Cambria"/>
        </w:rPr>
        <w:t xml:space="preserve"> einen weiteren </w:t>
      </w:r>
      <w:r w:rsidR="005169BB">
        <w:rPr>
          <w:rFonts w:ascii="Cambria" w:hAnsi="Cambria"/>
        </w:rPr>
        <w:t>Auszug</w:t>
      </w:r>
      <w:r w:rsidR="00320124" w:rsidRPr="00F50B4B">
        <w:rPr>
          <w:rFonts w:ascii="Cambria" w:hAnsi="Cambria"/>
        </w:rPr>
        <w:t xml:space="preserve"> aus dem </w:t>
      </w:r>
      <w:r w:rsidRPr="00F50B4B">
        <w:rPr>
          <w:rFonts w:ascii="Cambria" w:hAnsi="Cambria"/>
        </w:rPr>
        <w:t xml:space="preserve">Gespräch </w:t>
      </w:r>
      <w:proofErr w:type="gramStart"/>
      <w:r w:rsidRPr="00F50B4B">
        <w:rPr>
          <w:rFonts w:ascii="Cambria" w:hAnsi="Cambria"/>
        </w:rPr>
        <w:t>der drei Berner Philosoph</w:t>
      </w:r>
      <w:proofErr w:type="gramEnd"/>
      <w:r w:rsidRPr="00F50B4B">
        <w:rPr>
          <w:rFonts w:ascii="Cambria" w:hAnsi="Cambria"/>
        </w:rPr>
        <w:t xml:space="preserve">*innen, in dem Andreas Müller eine Erklärung für </w:t>
      </w:r>
      <w:r w:rsidR="004D61DE">
        <w:rPr>
          <w:rFonts w:ascii="Cambria" w:hAnsi="Cambria"/>
        </w:rPr>
        <w:t>die</w:t>
      </w:r>
      <w:r w:rsidRPr="00F50B4B">
        <w:rPr>
          <w:rFonts w:ascii="Cambria" w:hAnsi="Cambria"/>
        </w:rPr>
        <w:t xml:space="preserve"> </w:t>
      </w:r>
      <w:r w:rsidR="004D61DE">
        <w:rPr>
          <w:rFonts w:ascii="Cambria" w:hAnsi="Cambria"/>
        </w:rPr>
        <w:t>moralische Bedeutung</w:t>
      </w:r>
      <w:r w:rsidR="00BE147C" w:rsidRPr="00F50B4B">
        <w:rPr>
          <w:rFonts w:ascii="Cambria" w:hAnsi="Cambria"/>
        </w:rPr>
        <w:t xml:space="preserve"> </w:t>
      </w:r>
      <w:r w:rsidRPr="00F50B4B">
        <w:rPr>
          <w:rFonts w:ascii="Cambria" w:hAnsi="Cambria"/>
        </w:rPr>
        <w:t>von Einwilligung formuliert (</w:t>
      </w:r>
      <w:r w:rsidR="005169BB">
        <w:rPr>
          <w:rFonts w:ascii="Cambria" w:hAnsi="Cambria"/>
        </w:rPr>
        <w:t xml:space="preserve">Auszug 2, </w:t>
      </w:r>
      <w:r w:rsidR="00F449CB" w:rsidRPr="00F50B4B">
        <w:rPr>
          <w:rFonts w:ascii="Cambria" w:hAnsi="Cambria"/>
        </w:rPr>
        <w:t xml:space="preserve">von </w:t>
      </w:r>
      <w:r w:rsidRPr="00F50B4B">
        <w:rPr>
          <w:rFonts w:ascii="Cambria" w:hAnsi="Cambria"/>
        </w:rPr>
        <w:t>Minute 9:45</w:t>
      </w:r>
      <w:r w:rsidR="00406D09" w:rsidRPr="00F50B4B">
        <w:rPr>
          <w:rFonts w:ascii="Cambria" w:hAnsi="Cambria"/>
        </w:rPr>
        <w:t xml:space="preserve"> bis </w:t>
      </w:r>
      <w:r w:rsidR="00713EEE" w:rsidRPr="00F50B4B">
        <w:rPr>
          <w:rFonts w:ascii="Cambria" w:hAnsi="Cambria"/>
        </w:rPr>
        <w:t>1</w:t>
      </w:r>
      <w:r w:rsidR="004C6FCA" w:rsidRPr="00F50B4B">
        <w:rPr>
          <w:rFonts w:ascii="Cambria" w:hAnsi="Cambria"/>
        </w:rPr>
        <w:t>3</w:t>
      </w:r>
      <w:r w:rsidR="00713EEE" w:rsidRPr="00F50B4B">
        <w:rPr>
          <w:rFonts w:ascii="Cambria" w:hAnsi="Cambria"/>
        </w:rPr>
        <w:t>:</w:t>
      </w:r>
      <w:r w:rsidR="004C6FCA" w:rsidRPr="00F50B4B">
        <w:rPr>
          <w:rFonts w:ascii="Cambria" w:hAnsi="Cambria"/>
        </w:rPr>
        <w:t>37</w:t>
      </w:r>
      <w:r w:rsidR="005169BB">
        <w:rPr>
          <w:rFonts w:ascii="Cambria" w:hAnsi="Cambria"/>
        </w:rPr>
        <w:t>; siehe unten</w:t>
      </w:r>
      <w:r w:rsidRPr="00F50B4B">
        <w:rPr>
          <w:rFonts w:ascii="Cambria" w:hAnsi="Cambria"/>
        </w:rPr>
        <w:t xml:space="preserve">). </w:t>
      </w:r>
      <w:r w:rsidR="00BE147C" w:rsidRPr="00F50B4B">
        <w:rPr>
          <w:rFonts w:ascii="Cambria" w:hAnsi="Cambria"/>
        </w:rPr>
        <w:t xml:space="preserve">Im Gespräch ist die Rede von einer Waage mit einer Pro- und einer </w:t>
      </w:r>
      <w:r w:rsidR="006209F3" w:rsidRPr="00F50B4B">
        <w:rPr>
          <w:rFonts w:ascii="Cambria" w:hAnsi="Cambria"/>
        </w:rPr>
        <w:t>Gegen-</w:t>
      </w:r>
      <w:r w:rsidR="00BE147C" w:rsidRPr="00F50B4B">
        <w:rPr>
          <w:rFonts w:ascii="Cambria" w:hAnsi="Cambria"/>
        </w:rPr>
        <w:t>Waagschale.</w:t>
      </w:r>
      <w:r w:rsidR="000A3EB4">
        <w:rPr>
          <w:rFonts w:ascii="Cambria" w:hAnsi="Cambria"/>
        </w:rPr>
        <w:t xml:space="preserve"> </w:t>
      </w:r>
    </w:p>
    <w:p w14:paraId="46F88827" w14:textId="0EB05C77" w:rsidR="004D61DE" w:rsidRDefault="001962D4" w:rsidP="002D1EDA">
      <w:pPr>
        <w:pStyle w:val="Listenabsatz"/>
        <w:spacing w:line="276" w:lineRule="auto"/>
        <w:ind w:left="426" w:firstLine="283"/>
        <w:jc w:val="both"/>
        <w:rPr>
          <w:rFonts w:ascii="Cambria" w:hAnsi="Cambria"/>
        </w:rPr>
      </w:pPr>
      <w:r>
        <w:rPr>
          <w:rFonts w:ascii="Cambria" w:hAnsi="Cambria"/>
        </w:rPr>
        <w:t>Erläuter</w:t>
      </w:r>
      <w:r w:rsidR="000A3EB4">
        <w:rPr>
          <w:rFonts w:ascii="Cambria" w:hAnsi="Cambria"/>
        </w:rPr>
        <w:t>t</w:t>
      </w:r>
      <w:r w:rsidR="004D61DE">
        <w:rPr>
          <w:rFonts w:ascii="Cambria" w:hAnsi="Cambria"/>
        </w:rPr>
        <w:t xml:space="preserve"> </w:t>
      </w:r>
      <w:r>
        <w:rPr>
          <w:rFonts w:ascii="Cambria" w:hAnsi="Cambria"/>
        </w:rPr>
        <w:t>mit Hilfe</w:t>
      </w:r>
      <w:r w:rsidR="004D61DE">
        <w:rPr>
          <w:rFonts w:ascii="Cambria" w:hAnsi="Cambria"/>
        </w:rPr>
        <w:t xml:space="preserve"> der </w:t>
      </w:r>
      <w:r w:rsidR="009419DA">
        <w:rPr>
          <w:rFonts w:ascii="Cambria" w:hAnsi="Cambria"/>
        </w:rPr>
        <w:t xml:space="preserve">beiden </w:t>
      </w:r>
      <w:r w:rsidR="00FE430D">
        <w:rPr>
          <w:rFonts w:ascii="Cambria" w:hAnsi="Cambria"/>
        </w:rPr>
        <w:t xml:space="preserve">hier </w:t>
      </w:r>
      <w:r w:rsidR="004D61DE">
        <w:rPr>
          <w:rFonts w:ascii="Cambria" w:hAnsi="Cambria"/>
        </w:rPr>
        <w:t>abgebildeten Waagen</w:t>
      </w:r>
      <w:r w:rsidR="009419DA">
        <w:rPr>
          <w:rFonts w:ascii="Cambria" w:hAnsi="Cambria"/>
        </w:rPr>
        <w:t>, zu welcher moralischen</w:t>
      </w:r>
      <w:r w:rsidR="004D61DE">
        <w:rPr>
          <w:rFonts w:ascii="Cambria" w:hAnsi="Cambria"/>
        </w:rPr>
        <w:t xml:space="preserve"> </w:t>
      </w:r>
      <w:r w:rsidR="000A3EB4">
        <w:rPr>
          <w:rFonts w:ascii="Cambria" w:hAnsi="Cambria"/>
        </w:rPr>
        <w:t>Veränderung</w:t>
      </w:r>
      <w:r w:rsidR="009419DA">
        <w:rPr>
          <w:rFonts w:ascii="Cambria" w:hAnsi="Cambria"/>
        </w:rPr>
        <w:t xml:space="preserve"> es im Beispiel der Hüftgelenktransplantatio</w:t>
      </w:r>
      <w:r>
        <w:rPr>
          <w:rFonts w:ascii="Cambria" w:hAnsi="Cambria"/>
        </w:rPr>
        <w:t xml:space="preserve">n </w:t>
      </w:r>
      <w:r w:rsidR="004D61DE">
        <w:rPr>
          <w:rFonts w:ascii="Cambria" w:hAnsi="Cambria"/>
        </w:rPr>
        <w:t xml:space="preserve">durch die Einwilligung </w:t>
      </w:r>
      <w:r w:rsidR="00FE430D">
        <w:rPr>
          <w:rFonts w:ascii="Cambria" w:hAnsi="Cambria"/>
        </w:rPr>
        <w:t xml:space="preserve">kommt. </w:t>
      </w:r>
      <w:r w:rsidR="0078016B">
        <w:rPr>
          <w:rFonts w:ascii="Cambria" w:hAnsi="Cambria"/>
        </w:rPr>
        <w:t xml:space="preserve">Ordnet </w:t>
      </w:r>
      <w:r>
        <w:rPr>
          <w:rFonts w:ascii="Cambria" w:hAnsi="Cambria"/>
        </w:rPr>
        <w:t xml:space="preserve">dafür </w:t>
      </w:r>
      <w:r w:rsidR="0078016B">
        <w:rPr>
          <w:rFonts w:ascii="Cambria" w:hAnsi="Cambria"/>
        </w:rPr>
        <w:t>den</w:t>
      </w:r>
      <w:r w:rsidR="009419DA">
        <w:rPr>
          <w:rFonts w:ascii="Cambria" w:hAnsi="Cambria"/>
        </w:rPr>
        <w:t xml:space="preserve"> Waagschalen entsprechend</w:t>
      </w:r>
      <w:r w:rsidR="0078016B">
        <w:rPr>
          <w:rFonts w:ascii="Cambria" w:hAnsi="Cambria"/>
        </w:rPr>
        <w:t xml:space="preserve">e Gewichte </w:t>
      </w:r>
      <w:r w:rsidR="00CB236F">
        <w:rPr>
          <w:rFonts w:ascii="Cambria" w:hAnsi="Cambria"/>
        </w:rPr>
        <w:t xml:space="preserve">(Gründe) </w:t>
      </w:r>
      <w:r w:rsidR="0078016B">
        <w:rPr>
          <w:rFonts w:ascii="Cambria" w:hAnsi="Cambria"/>
        </w:rPr>
        <w:t>zu</w:t>
      </w:r>
      <w:r w:rsidR="009419DA">
        <w:rPr>
          <w:rFonts w:ascii="Cambria" w:hAnsi="Cambria"/>
        </w:rPr>
        <w:t xml:space="preserve">. </w:t>
      </w:r>
    </w:p>
    <w:p w14:paraId="24792BE2" w14:textId="41E3C91A" w:rsidR="00444C90" w:rsidRPr="00EA7162" w:rsidRDefault="00444C90" w:rsidP="00EA7162">
      <w:pPr>
        <w:spacing w:line="276" w:lineRule="auto"/>
        <w:jc w:val="both"/>
        <w:rPr>
          <w:rFonts w:ascii="Cambria" w:hAnsi="Cambria"/>
        </w:rPr>
      </w:pPr>
    </w:p>
    <w:p w14:paraId="1221E7AE" w14:textId="3EF112E1" w:rsidR="00444C90" w:rsidRDefault="0080788E" w:rsidP="00FE430D">
      <w:pPr>
        <w:pStyle w:val="Listenabsatz"/>
        <w:spacing w:line="276" w:lineRule="auto"/>
        <w:ind w:left="426"/>
        <w:jc w:val="both"/>
        <w:rPr>
          <w:rFonts w:ascii="Cambria" w:hAnsi="Cambria"/>
        </w:rPr>
      </w:pPr>
      <w:r>
        <w:rPr>
          <w:rFonts w:ascii="Cambria" w:hAnsi="Cambria"/>
          <w:noProof/>
        </w:rPr>
        <w:drawing>
          <wp:anchor distT="0" distB="0" distL="114300" distR="114300" simplePos="0" relativeHeight="251660288" behindDoc="0" locked="0" layoutInCell="1" allowOverlap="1" wp14:anchorId="06278CA7" wp14:editId="3B026575">
            <wp:simplePos x="0" y="0"/>
            <wp:positionH relativeFrom="margin">
              <wp:posOffset>1924299</wp:posOffset>
            </wp:positionH>
            <wp:positionV relativeFrom="margin">
              <wp:posOffset>4300178</wp:posOffset>
            </wp:positionV>
            <wp:extent cx="3856990" cy="1547495"/>
            <wp:effectExtent l="0" t="0" r="381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online-co-flipped.jpg"/>
                    <pic:cNvPicPr/>
                  </pic:nvPicPr>
                  <pic:blipFill rotWithShape="1">
                    <a:blip r:embed="rId13">
                      <a:extLst>
                        <a:ext uri="{28A0092B-C50C-407E-A947-70E740481C1C}">
                          <a14:useLocalDpi xmlns:a14="http://schemas.microsoft.com/office/drawing/2010/main" val="0"/>
                        </a:ext>
                      </a:extLst>
                    </a:blip>
                    <a:srcRect t="17003" b="18640"/>
                    <a:stretch/>
                  </pic:blipFill>
                  <pic:spPr bwMode="auto">
                    <a:xfrm>
                      <a:off x="0" y="0"/>
                      <a:ext cx="385699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71876" w14:textId="3E723892" w:rsidR="00FE430D" w:rsidRPr="00444C90" w:rsidRDefault="008C2A34" w:rsidP="00444C90">
      <w:pPr>
        <w:spacing w:line="276" w:lineRule="auto"/>
        <w:jc w:val="both"/>
        <w:rPr>
          <w:rFonts w:ascii="Cambria" w:hAnsi="Cambria"/>
        </w:rPr>
      </w:pPr>
      <w:r w:rsidRPr="00444C90">
        <w:rPr>
          <w:rFonts w:ascii="Cambria" w:hAnsi="Cambria"/>
        </w:rPr>
        <w:t xml:space="preserve">(i) </w:t>
      </w:r>
      <w:r w:rsidR="00DA5CD6">
        <w:rPr>
          <w:rFonts w:ascii="Cambria" w:hAnsi="Cambria"/>
        </w:rPr>
        <w:t>o</w:t>
      </w:r>
      <w:r w:rsidR="00EA7162">
        <w:rPr>
          <w:rFonts w:ascii="Cambria" w:hAnsi="Cambria"/>
        </w:rPr>
        <w:t xml:space="preserve">hne </w:t>
      </w:r>
      <w:r w:rsidR="009419DA" w:rsidRPr="00444C90">
        <w:rPr>
          <w:rFonts w:ascii="Cambria" w:hAnsi="Cambria"/>
        </w:rPr>
        <w:t>Einwilligung</w:t>
      </w:r>
      <w:r w:rsidR="00307036" w:rsidRPr="00444C90">
        <w:rPr>
          <w:rFonts w:ascii="Cambria" w:hAnsi="Cambria"/>
        </w:rPr>
        <w:t>:</w:t>
      </w:r>
      <w:r w:rsidR="009419DA" w:rsidRPr="00444C90">
        <w:rPr>
          <w:rFonts w:ascii="Cambria" w:hAnsi="Cambria"/>
        </w:rPr>
        <w:t xml:space="preserve"> </w:t>
      </w:r>
    </w:p>
    <w:p w14:paraId="4CAD37A4" w14:textId="061D82F0" w:rsidR="009419DA" w:rsidRDefault="009419DA" w:rsidP="00FE430D">
      <w:pPr>
        <w:pStyle w:val="Listenabsatz"/>
        <w:spacing w:line="276" w:lineRule="auto"/>
        <w:ind w:left="426"/>
        <w:jc w:val="both"/>
        <w:rPr>
          <w:rFonts w:ascii="Cambria" w:hAnsi="Cambria"/>
        </w:rPr>
      </w:pPr>
    </w:p>
    <w:p w14:paraId="427A32B9" w14:textId="12467B43" w:rsidR="009419DA" w:rsidRDefault="009419DA" w:rsidP="00FE430D">
      <w:pPr>
        <w:pStyle w:val="Listenabsatz"/>
        <w:spacing w:line="276" w:lineRule="auto"/>
        <w:ind w:left="426"/>
        <w:jc w:val="both"/>
        <w:rPr>
          <w:rFonts w:ascii="Cambria" w:hAnsi="Cambria"/>
        </w:rPr>
      </w:pPr>
    </w:p>
    <w:p w14:paraId="34907182" w14:textId="3D19CC74" w:rsidR="009419DA" w:rsidRDefault="009419DA" w:rsidP="00FE430D">
      <w:pPr>
        <w:pStyle w:val="Listenabsatz"/>
        <w:spacing w:line="276" w:lineRule="auto"/>
        <w:ind w:left="426"/>
        <w:jc w:val="both"/>
        <w:rPr>
          <w:rFonts w:ascii="Cambria" w:hAnsi="Cambria"/>
        </w:rPr>
      </w:pPr>
    </w:p>
    <w:p w14:paraId="7878EC68" w14:textId="18726A3E" w:rsidR="009419DA" w:rsidRDefault="009419DA" w:rsidP="00FE430D">
      <w:pPr>
        <w:pStyle w:val="Listenabsatz"/>
        <w:spacing w:line="276" w:lineRule="auto"/>
        <w:ind w:left="426"/>
        <w:jc w:val="both"/>
        <w:rPr>
          <w:rFonts w:ascii="Cambria" w:hAnsi="Cambria"/>
        </w:rPr>
      </w:pPr>
    </w:p>
    <w:p w14:paraId="5D4DADB1" w14:textId="34A3C10F" w:rsidR="00FE430D" w:rsidRPr="009419DA" w:rsidRDefault="00FE430D" w:rsidP="009419DA">
      <w:pPr>
        <w:spacing w:line="276" w:lineRule="auto"/>
        <w:jc w:val="both"/>
        <w:rPr>
          <w:rFonts w:ascii="Cambria" w:hAnsi="Cambria"/>
        </w:rPr>
      </w:pPr>
    </w:p>
    <w:p w14:paraId="0751549C" w14:textId="0F4A1B36" w:rsidR="009419DA" w:rsidRDefault="009419DA" w:rsidP="00FE430D">
      <w:pPr>
        <w:pStyle w:val="Listenabsatz"/>
        <w:spacing w:line="276" w:lineRule="auto"/>
        <w:ind w:left="426"/>
        <w:jc w:val="both"/>
        <w:rPr>
          <w:rFonts w:ascii="Cambria" w:hAnsi="Cambria"/>
        </w:rPr>
      </w:pPr>
    </w:p>
    <w:p w14:paraId="74A5D3B6" w14:textId="13287151" w:rsidR="00FE430D" w:rsidRDefault="00FE430D" w:rsidP="00FE430D">
      <w:pPr>
        <w:pStyle w:val="Listenabsatz"/>
        <w:spacing w:line="276" w:lineRule="auto"/>
        <w:ind w:left="426"/>
        <w:jc w:val="both"/>
        <w:rPr>
          <w:rFonts w:ascii="Cambria" w:hAnsi="Cambria"/>
        </w:rPr>
      </w:pPr>
    </w:p>
    <w:p w14:paraId="5A772B2B" w14:textId="56E32418" w:rsidR="00444C90" w:rsidRDefault="00D44B04" w:rsidP="7C4F6E5B">
      <w:pPr>
        <w:pStyle w:val="Listenabsatz"/>
        <w:spacing w:line="276" w:lineRule="auto"/>
        <w:ind w:left="0"/>
        <w:jc w:val="both"/>
        <w:rPr>
          <w:rFonts w:ascii="Cambria" w:hAnsi="Cambria"/>
        </w:rPr>
      </w:pPr>
      <w:r>
        <w:rPr>
          <w:rFonts w:ascii="Cambria" w:hAnsi="Cambria"/>
        </w:rPr>
        <w:tab/>
      </w:r>
      <w:r w:rsidR="0080788E">
        <w:rPr>
          <w:rFonts w:ascii="Cambria" w:hAnsi="Cambria"/>
        </w:rPr>
        <w:tab/>
      </w:r>
      <w:r w:rsidR="0080788E">
        <w:rPr>
          <w:rFonts w:ascii="Cambria" w:hAnsi="Cambria"/>
        </w:rPr>
        <w:tab/>
      </w:r>
      <w:r w:rsidR="0080788E">
        <w:rPr>
          <w:rFonts w:ascii="Cambria" w:hAnsi="Cambria"/>
        </w:rPr>
        <w:tab/>
      </w:r>
      <w:r w:rsidR="00B51544">
        <w:rPr>
          <w:rFonts w:ascii="Cambria" w:hAnsi="Cambria"/>
        </w:rPr>
        <w:t xml:space="preserve"> </w:t>
      </w:r>
      <w:r w:rsidR="0080788E">
        <w:rPr>
          <w:rFonts w:ascii="Cambria" w:hAnsi="Cambria"/>
        </w:rPr>
        <w:tab/>
      </w:r>
      <w:r w:rsidR="00B51544">
        <w:rPr>
          <w:rFonts w:ascii="Cambria" w:hAnsi="Cambria"/>
        </w:rPr>
        <w:t>pro</w:t>
      </w:r>
      <w:r w:rsidR="0080788E">
        <w:rPr>
          <w:rFonts w:ascii="Cambria" w:hAnsi="Cambria"/>
        </w:rPr>
        <w:t xml:space="preserve"> </w:t>
      </w:r>
      <w:r w:rsidR="00B51544">
        <w:rPr>
          <w:rFonts w:ascii="Cambria" w:hAnsi="Cambria"/>
        </w:rPr>
        <w:t>Operation</w:t>
      </w:r>
      <w:r>
        <w:rPr>
          <w:rFonts w:ascii="Cambria" w:hAnsi="Cambria"/>
        </w:rPr>
        <w:t xml:space="preserve"> </w:t>
      </w:r>
      <w:r>
        <w:rPr>
          <w:rFonts w:ascii="Cambria" w:hAnsi="Cambria"/>
        </w:rPr>
        <w:tab/>
      </w:r>
      <w:r>
        <w:rPr>
          <w:rFonts w:ascii="Cambria" w:hAnsi="Cambria"/>
        </w:rPr>
        <w:tab/>
      </w:r>
      <w:r>
        <w:rPr>
          <w:rFonts w:ascii="Cambria" w:hAnsi="Cambria"/>
        </w:rPr>
        <w:tab/>
      </w:r>
      <w:r w:rsidR="00B51544">
        <w:rPr>
          <w:rFonts w:ascii="Cambria" w:hAnsi="Cambria"/>
        </w:rPr>
        <w:t>contra Operation</w:t>
      </w:r>
    </w:p>
    <w:p w14:paraId="681385B2" w14:textId="6B452C58" w:rsidR="00444C90" w:rsidRDefault="00444C90" w:rsidP="00FE430D">
      <w:pPr>
        <w:pStyle w:val="Listenabsatz"/>
        <w:spacing w:line="276" w:lineRule="auto"/>
        <w:ind w:left="426"/>
        <w:jc w:val="both"/>
        <w:rPr>
          <w:rFonts w:ascii="Cambria" w:hAnsi="Cambria"/>
        </w:rPr>
      </w:pPr>
    </w:p>
    <w:p w14:paraId="37D4DD1F" w14:textId="28ACB995" w:rsidR="00444C90" w:rsidRDefault="00444C90" w:rsidP="00FE430D">
      <w:pPr>
        <w:pStyle w:val="Listenabsatz"/>
        <w:spacing w:line="276" w:lineRule="auto"/>
        <w:ind w:left="426"/>
        <w:jc w:val="both"/>
        <w:rPr>
          <w:rFonts w:ascii="Cambria" w:hAnsi="Cambria"/>
        </w:rPr>
      </w:pPr>
    </w:p>
    <w:p w14:paraId="6A7EF461" w14:textId="6BE48996" w:rsidR="00444C90" w:rsidRDefault="00444C90" w:rsidP="00FE430D">
      <w:pPr>
        <w:pStyle w:val="Listenabsatz"/>
        <w:spacing w:line="276" w:lineRule="auto"/>
        <w:ind w:left="426"/>
        <w:jc w:val="both"/>
        <w:rPr>
          <w:rFonts w:ascii="Cambria" w:hAnsi="Cambria"/>
        </w:rPr>
      </w:pPr>
    </w:p>
    <w:p w14:paraId="6EB354CE" w14:textId="055849A5" w:rsidR="00444C90" w:rsidRDefault="00B51544" w:rsidP="00FE430D">
      <w:pPr>
        <w:pStyle w:val="Listenabsatz"/>
        <w:spacing w:line="276" w:lineRule="auto"/>
        <w:ind w:left="426"/>
        <w:jc w:val="both"/>
        <w:rPr>
          <w:rFonts w:ascii="Cambria" w:hAnsi="Cambria"/>
        </w:rPr>
      </w:pPr>
      <w:r>
        <w:rPr>
          <w:noProof/>
        </w:rPr>
        <w:drawing>
          <wp:anchor distT="0" distB="0" distL="114300" distR="114300" simplePos="0" relativeHeight="251659264" behindDoc="0" locked="0" layoutInCell="1" allowOverlap="1" wp14:anchorId="207D30AC" wp14:editId="68B33696">
            <wp:simplePos x="0" y="0"/>
            <wp:positionH relativeFrom="margin">
              <wp:posOffset>1939290</wp:posOffset>
            </wp:positionH>
            <wp:positionV relativeFrom="margin">
              <wp:posOffset>7120890</wp:posOffset>
            </wp:positionV>
            <wp:extent cx="4004310" cy="15392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951722782-612x612.jpg"/>
                    <pic:cNvPicPr/>
                  </pic:nvPicPr>
                  <pic:blipFill rotWithShape="1">
                    <a:blip r:embed="rId14">
                      <a:extLst>
                        <a:ext uri="{28A0092B-C50C-407E-A947-70E740481C1C}">
                          <a14:useLocalDpi xmlns:a14="http://schemas.microsoft.com/office/drawing/2010/main" val="0"/>
                        </a:ext>
                      </a:extLst>
                    </a:blip>
                    <a:srcRect t="19301" b="18934"/>
                    <a:stretch/>
                  </pic:blipFill>
                  <pic:spPr bwMode="auto">
                    <a:xfrm>
                      <a:off x="0" y="0"/>
                      <a:ext cx="4004310" cy="153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5F4E96" w14:textId="6A069DDC" w:rsidR="00444C90" w:rsidRPr="00444C90" w:rsidRDefault="00444C90" w:rsidP="00444C90">
      <w:pPr>
        <w:spacing w:line="276" w:lineRule="auto"/>
        <w:jc w:val="both"/>
        <w:rPr>
          <w:rFonts w:ascii="Cambria" w:hAnsi="Cambria"/>
        </w:rPr>
      </w:pPr>
    </w:p>
    <w:p w14:paraId="0D914BF0" w14:textId="6AAC9B1F" w:rsidR="009419DA" w:rsidRPr="00444C90" w:rsidRDefault="008C2A34" w:rsidP="00444C90">
      <w:pPr>
        <w:spacing w:line="276" w:lineRule="auto"/>
        <w:jc w:val="both"/>
        <w:rPr>
          <w:rFonts w:ascii="Cambria" w:hAnsi="Cambria"/>
        </w:rPr>
      </w:pPr>
      <w:r w:rsidRPr="00444C90">
        <w:rPr>
          <w:rFonts w:ascii="Cambria" w:hAnsi="Cambria"/>
        </w:rPr>
        <w:t>(ii)</w:t>
      </w:r>
      <w:r w:rsidR="009419DA" w:rsidRPr="00444C90">
        <w:rPr>
          <w:rFonts w:ascii="Cambria" w:hAnsi="Cambria"/>
        </w:rPr>
        <w:t xml:space="preserve"> </w:t>
      </w:r>
      <w:r w:rsidR="00DA5CD6">
        <w:rPr>
          <w:rFonts w:ascii="Cambria" w:hAnsi="Cambria"/>
        </w:rPr>
        <w:t>m</w:t>
      </w:r>
      <w:r w:rsidR="00EA7162">
        <w:rPr>
          <w:rFonts w:ascii="Cambria" w:hAnsi="Cambria"/>
        </w:rPr>
        <w:t xml:space="preserve">it </w:t>
      </w:r>
      <w:r w:rsidR="009419DA" w:rsidRPr="00444C90">
        <w:rPr>
          <w:rFonts w:ascii="Cambria" w:hAnsi="Cambria"/>
        </w:rPr>
        <w:t xml:space="preserve">Einwilligung: </w:t>
      </w:r>
    </w:p>
    <w:p w14:paraId="301D2B01" w14:textId="5F8A731C" w:rsidR="00FE430D" w:rsidRDefault="00FE430D" w:rsidP="00FE430D">
      <w:pPr>
        <w:pStyle w:val="Listenabsatz"/>
        <w:spacing w:line="276" w:lineRule="auto"/>
        <w:ind w:left="426"/>
        <w:jc w:val="both"/>
        <w:rPr>
          <w:rFonts w:ascii="Cambria" w:hAnsi="Cambria"/>
        </w:rPr>
      </w:pPr>
    </w:p>
    <w:p w14:paraId="7E9AE8A5" w14:textId="52A45363" w:rsidR="00FE430D" w:rsidRDefault="00FE430D" w:rsidP="00FE430D">
      <w:pPr>
        <w:pStyle w:val="Listenabsatz"/>
        <w:spacing w:line="276" w:lineRule="auto"/>
        <w:ind w:left="426"/>
        <w:jc w:val="both"/>
        <w:rPr>
          <w:rFonts w:ascii="Cambria" w:hAnsi="Cambria"/>
        </w:rPr>
      </w:pPr>
    </w:p>
    <w:p w14:paraId="6AE6FE3E" w14:textId="7EF7C172" w:rsidR="00FE430D" w:rsidRDefault="00FE430D" w:rsidP="00FE430D">
      <w:pPr>
        <w:pStyle w:val="Listenabsatz"/>
        <w:spacing w:line="276" w:lineRule="auto"/>
        <w:ind w:left="426"/>
        <w:jc w:val="both"/>
        <w:rPr>
          <w:rFonts w:ascii="Cambria" w:hAnsi="Cambria"/>
        </w:rPr>
      </w:pPr>
    </w:p>
    <w:p w14:paraId="01C534DE" w14:textId="2A07DD49" w:rsidR="009419DA" w:rsidRDefault="009419DA" w:rsidP="00FE430D">
      <w:pPr>
        <w:pStyle w:val="Listenabsatz"/>
        <w:spacing w:line="276" w:lineRule="auto"/>
        <w:ind w:left="426"/>
        <w:jc w:val="both"/>
        <w:rPr>
          <w:rFonts w:ascii="Cambria" w:hAnsi="Cambria"/>
        </w:rPr>
      </w:pPr>
    </w:p>
    <w:p w14:paraId="0AC112FD" w14:textId="77777777" w:rsidR="009419DA" w:rsidRDefault="009419DA" w:rsidP="00FE430D">
      <w:pPr>
        <w:pStyle w:val="Listenabsatz"/>
        <w:spacing w:line="276" w:lineRule="auto"/>
        <w:ind w:left="426"/>
        <w:jc w:val="both"/>
        <w:rPr>
          <w:rFonts w:ascii="Cambria" w:hAnsi="Cambria"/>
        </w:rPr>
      </w:pPr>
    </w:p>
    <w:p w14:paraId="43D00A46" w14:textId="189D779E" w:rsidR="00F50B4B" w:rsidRDefault="00F50B4B" w:rsidP="00F50B4B">
      <w:pPr>
        <w:spacing w:line="276" w:lineRule="auto"/>
        <w:jc w:val="both"/>
        <w:rPr>
          <w:rFonts w:ascii="Cambria" w:hAnsi="Cambria"/>
        </w:rPr>
      </w:pPr>
    </w:p>
    <w:p w14:paraId="4DED6092" w14:textId="5A9374E3" w:rsidR="00444C90" w:rsidRPr="00F50B4B" w:rsidRDefault="00B51544" w:rsidP="00B51544">
      <w:pPr>
        <w:spacing w:line="276" w:lineRule="auto"/>
        <w:ind w:left="2832" w:firstLine="708"/>
        <w:jc w:val="both"/>
        <w:rPr>
          <w:rFonts w:ascii="Cambria" w:hAnsi="Cambria"/>
        </w:rPr>
      </w:pPr>
      <w:r>
        <w:rPr>
          <w:rFonts w:ascii="Cambria" w:hAnsi="Cambria"/>
        </w:rPr>
        <w:t xml:space="preserve">pro Operation </w:t>
      </w:r>
      <w:r>
        <w:rPr>
          <w:rFonts w:ascii="Cambria" w:hAnsi="Cambria"/>
        </w:rPr>
        <w:tab/>
      </w:r>
      <w:r>
        <w:rPr>
          <w:rFonts w:ascii="Cambria" w:hAnsi="Cambria"/>
        </w:rPr>
        <w:tab/>
      </w:r>
      <w:r>
        <w:rPr>
          <w:rFonts w:ascii="Cambria" w:hAnsi="Cambria"/>
        </w:rPr>
        <w:tab/>
        <w:t>contra Operation</w:t>
      </w:r>
    </w:p>
    <w:p w14:paraId="1C7ADF10" w14:textId="6FDF59ED" w:rsidR="008C2A34" w:rsidRDefault="000A3EB4" w:rsidP="008C2A34">
      <w:pPr>
        <w:pStyle w:val="Listenabsatz"/>
        <w:numPr>
          <w:ilvl w:val="0"/>
          <w:numId w:val="8"/>
        </w:numPr>
        <w:spacing w:line="276" w:lineRule="auto"/>
        <w:ind w:left="426" w:hanging="426"/>
        <w:jc w:val="both"/>
        <w:rPr>
          <w:rFonts w:ascii="Cambria" w:hAnsi="Cambria"/>
        </w:rPr>
      </w:pPr>
      <w:r>
        <w:rPr>
          <w:rFonts w:ascii="Cambria" w:hAnsi="Cambria"/>
        </w:rPr>
        <w:lastRenderedPageBreak/>
        <w:t xml:space="preserve">Gebt </w:t>
      </w:r>
      <w:r w:rsidR="00FE4BE8" w:rsidRPr="000A3EB4">
        <w:rPr>
          <w:rFonts w:ascii="Cambria" w:hAnsi="Cambria"/>
        </w:rPr>
        <w:t>möglichst klar</w:t>
      </w:r>
      <w:r w:rsidR="006209F3" w:rsidRPr="000A3EB4">
        <w:rPr>
          <w:rFonts w:ascii="Cambria" w:hAnsi="Cambria"/>
        </w:rPr>
        <w:t xml:space="preserve"> in eigenen Worten</w:t>
      </w:r>
      <w:r w:rsidR="004F19E0">
        <w:rPr>
          <w:rFonts w:ascii="Cambria" w:hAnsi="Cambria"/>
        </w:rPr>
        <w:t xml:space="preserve"> wieder</w:t>
      </w:r>
      <w:r w:rsidR="006209F3" w:rsidRPr="000A3EB4">
        <w:rPr>
          <w:rFonts w:ascii="Cambria" w:hAnsi="Cambria"/>
        </w:rPr>
        <w:t xml:space="preserve">, wie die </w:t>
      </w:r>
      <w:r>
        <w:rPr>
          <w:rFonts w:ascii="Cambria" w:hAnsi="Cambria"/>
        </w:rPr>
        <w:t>moralische</w:t>
      </w:r>
      <w:r w:rsidR="006209F3" w:rsidRPr="000A3EB4">
        <w:rPr>
          <w:rFonts w:ascii="Cambria" w:hAnsi="Cambria"/>
        </w:rPr>
        <w:t xml:space="preserve"> </w:t>
      </w:r>
      <w:r>
        <w:rPr>
          <w:rFonts w:ascii="Cambria" w:hAnsi="Cambria"/>
        </w:rPr>
        <w:t>Bedeutung</w:t>
      </w:r>
      <w:r w:rsidR="006209F3" w:rsidRPr="000A3EB4">
        <w:rPr>
          <w:rFonts w:ascii="Cambria" w:hAnsi="Cambria"/>
        </w:rPr>
        <w:t xml:space="preserve"> von Einwilligung </w:t>
      </w:r>
      <w:r w:rsidR="00FE4BE8" w:rsidRPr="000A3EB4">
        <w:rPr>
          <w:rFonts w:ascii="Cambria" w:hAnsi="Cambria"/>
        </w:rPr>
        <w:t xml:space="preserve">Müller zufolge </w:t>
      </w:r>
      <w:r w:rsidR="006209F3" w:rsidRPr="000A3EB4">
        <w:rPr>
          <w:rFonts w:ascii="Cambria" w:hAnsi="Cambria"/>
        </w:rPr>
        <w:t xml:space="preserve">zu verstehen ist. Vergleicht diese </w:t>
      </w:r>
      <w:r>
        <w:rPr>
          <w:rFonts w:ascii="Cambria" w:hAnsi="Cambria"/>
        </w:rPr>
        <w:t>Begründung</w:t>
      </w:r>
      <w:r w:rsidR="006209F3" w:rsidRPr="000A3EB4">
        <w:rPr>
          <w:rFonts w:ascii="Cambria" w:hAnsi="Cambria"/>
        </w:rPr>
        <w:t xml:space="preserve"> mit euren eigenen </w:t>
      </w:r>
      <w:r>
        <w:rPr>
          <w:rFonts w:ascii="Cambria" w:hAnsi="Cambria"/>
        </w:rPr>
        <w:t>Begründungen</w:t>
      </w:r>
      <w:r w:rsidR="006209F3" w:rsidRPr="000A3EB4">
        <w:rPr>
          <w:rFonts w:ascii="Cambria" w:hAnsi="Cambria"/>
        </w:rPr>
        <w:t xml:space="preserve"> aus Aufgabe </w:t>
      </w:r>
      <w:r>
        <w:rPr>
          <w:rFonts w:ascii="Cambria" w:hAnsi="Cambria"/>
        </w:rPr>
        <w:t xml:space="preserve">1. </w:t>
      </w:r>
      <w:r w:rsidR="002D48CD">
        <w:rPr>
          <w:rFonts w:ascii="Cambria" w:hAnsi="Cambria"/>
        </w:rPr>
        <w:t xml:space="preserve">Habt ihr aus seiner Begründung Neues </w:t>
      </w:r>
      <w:r w:rsidR="002D48CD" w:rsidRPr="00214FF7">
        <w:rPr>
          <w:rFonts w:ascii="Cambria" w:hAnsi="Cambria"/>
        </w:rPr>
        <w:t>über die Bedeutung von Einwilligung gelernt</w:t>
      </w:r>
      <w:r w:rsidR="002D48CD">
        <w:rPr>
          <w:rFonts w:ascii="Cambria" w:hAnsi="Cambria"/>
        </w:rPr>
        <w:t xml:space="preserve"> – wenn ja, was</w:t>
      </w:r>
      <w:r w:rsidR="002D48CD" w:rsidRPr="00214FF7">
        <w:rPr>
          <w:rFonts w:ascii="Cambria" w:hAnsi="Cambria"/>
        </w:rPr>
        <w:t>?</w:t>
      </w:r>
    </w:p>
    <w:p w14:paraId="132050C4" w14:textId="332C44B1" w:rsidR="00AC3931" w:rsidRDefault="008C2A34" w:rsidP="008C2A34">
      <w:pPr>
        <w:pStyle w:val="Listenabsatz"/>
        <w:numPr>
          <w:ilvl w:val="0"/>
          <w:numId w:val="8"/>
        </w:numPr>
        <w:spacing w:line="276" w:lineRule="auto"/>
        <w:ind w:left="426" w:hanging="426"/>
        <w:jc w:val="both"/>
        <w:rPr>
          <w:rFonts w:ascii="Cambria" w:hAnsi="Cambria"/>
        </w:rPr>
      </w:pPr>
      <w:r w:rsidRPr="008C2A34">
        <w:rPr>
          <w:rFonts w:ascii="Cambria" w:hAnsi="Cambria"/>
        </w:rPr>
        <w:t xml:space="preserve">Hört oder lest Auszug 3 aus dem Gespräch (von Minute 19:53 bis 22:26, siehe unten). </w:t>
      </w:r>
      <w:r w:rsidR="004F19E0" w:rsidRPr="008C2A34">
        <w:rPr>
          <w:rFonts w:ascii="Cambria" w:hAnsi="Cambria"/>
        </w:rPr>
        <w:t>Müller meint, wir können grundsätzlich in jede Handlung erfolgreich einwilligen</w:t>
      </w:r>
      <w:r>
        <w:rPr>
          <w:rFonts w:ascii="Cambria" w:hAnsi="Cambria"/>
        </w:rPr>
        <w:t xml:space="preserve"> (auch wenn diese zu unserem Tod führt)</w:t>
      </w:r>
      <w:r w:rsidR="004F19E0" w:rsidRPr="008C2A34">
        <w:rPr>
          <w:rFonts w:ascii="Cambria" w:hAnsi="Cambria"/>
        </w:rPr>
        <w:t>, so lange die drei Gültigkeitsbedingungen erfüllt sind.</w:t>
      </w:r>
      <w:r w:rsidR="00214FF7" w:rsidRPr="008C2A34">
        <w:rPr>
          <w:rFonts w:ascii="Cambria" w:hAnsi="Cambria"/>
        </w:rPr>
        <w:t xml:space="preserve"> </w:t>
      </w:r>
      <w:r w:rsidR="0062403C" w:rsidRPr="008C2A34">
        <w:rPr>
          <w:rFonts w:ascii="Cambria" w:hAnsi="Cambria"/>
        </w:rPr>
        <w:t>Diskutiert die Position Müllers und nehmt Stellung zu der Frage, ob wir tatsächlich in jede Handlung erfolgreich einwilligen können</w:t>
      </w:r>
      <w:r w:rsidR="005169BB" w:rsidRPr="008C2A34">
        <w:rPr>
          <w:rFonts w:ascii="Cambria" w:hAnsi="Cambria"/>
        </w:rPr>
        <w:t xml:space="preserve">. </w:t>
      </w:r>
    </w:p>
    <w:p w14:paraId="4453FD36" w14:textId="77777777" w:rsidR="00444C90" w:rsidRPr="008C2A34" w:rsidRDefault="00444C90" w:rsidP="00444C90">
      <w:pPr>
        <w:pStyle w:val="Listenabsatz"/>
        <w:spacing w:line="276" w:lineRule="auto"/>
        <w:ind w:left="426"/>
        <w:jc w:val="both"/>
        <w:rPr>
          <w:rFonts w:ascii="Cambria" w:hAnsi="Cambria"/>
        </w:rPr>
      </w:pPr>
    </w:p>
    <w:p w14:paraId="4023F050" w14:textId="77777777" w:rsidR="0053453D" w:rsidRDefault="005169BB" w:rsidP="00F50B4B">
      <w:pPr>
        <w:spacing w:line="276" w:lineRule="auto"/>
        <w:jc w:val="both"/>
        <w:rPr>
          <w:rFonts w:ascii="Cambria" w:hAnsi="Cambria"/>
          <w:b/>
          <w:bCs/>
        </w:rPr>
      </w:pPr>
      <w:r>
        <w:rPr>
          <w:rFonts w:ascii="Cambria" w:hAnsi="Cambria"/>
          <w:b/>
          <w:bCs/>
        </w:rPr>
        <w:t xml:space="preserve">Auszug 2 aus einem </w:t>
      </w:r>
      <w:r w:rsidRPr="00BC60DD">
        <w:rPr>
          <w:rFonts w:ascii="Cambria" w:hAnsi="Cambria"/>
          <w:b/>
          <w:bCs/>
        </w:rPr>
        <w:t xml:space="preserve">Gespräch mit Andreas Müller zum Thema Einwilligung </w:t>
      </w:r>
      <w:r>
        <w:rPr>
          <w:rFonts w:ascii="Cambria" w:hAnsi="Cambria"/>
          <w:b/>
          <w:bCs/>
        </w:rPr>
        <w:t>(2018)</w:t>
      </w:r>
    </w:p>
    <w:p w14:paraId="0AE7053E" w14:textId="77777777" w:rsidR="0053453D" w:rsidRDefault="0053453D" w:rsidP="00F50B4B">
      <w:pPr>
        <w:spacing w:line="276" w:lineRule="auto"/>
        <w:jc w:val="both"/>
        <w:rPr>
          <w:rFonts w:ascii="Cambria" w:hAnsi="Cambria"/>
        </w:rPr>
      </w:pPr>
    </w:p>
    <w:p w14:paraId="23E2FEA2" w14:textId="7393DF36" w:rsidR="0053453D" w:rsidRDefault="0053453D" w:rsidP="00F50B4B">
      <w:pPr>
        <w:spacing w:line="276" w:lineRule="auto"/>
        <w:jc w:val="both"/>
        <w:rPr>
          <w:rFonts w:ascii="Cambria" w:hAnsi="Cambria"/>
        </w:rPr>
        <w:sectPr w:rsidR="0053453D" w:rsidSect="004B4725">
          <w:pgSz w:w="11900" w:h="16840"/>
          <w:pgMar w:top="1417" w:right="1417" w:bottom="1134" w:left="1417" w:header="708" w:footer="708" w:gutter="0"/>
          <w:cols w:space="708"/>
          <w:docGrid w:linePitch="360"/>
        </w:sectPr>
      </w:pPr>
    </w:p>
    <w:p w14:paraId="3991811E" w14:textId="77777777" w:rsidR="005169BB" w:rsidRPr="00BC60DD" w:rsidRDefault="005169BB" w:rsidP="005169BB">
      <w:pPr>
        <w:spacing w:afterLines="60" w:after="144" w:line="276" w:lineRule="auto"/>
        <w:jc w:val="both"/>
        <w:rPr>
          <w:rFonts w:ascii="Cambria" w:hAnsi="Cambria"/>
        </w:rPr>
      </w:pPr>
      <w:r w:rsidRPr="00BC60DD">
        <w:rPr>
          <w:rFonts w:ascii="Cambria" w:hAnsi="Cambria"/>
          <w:b/>
        </w:rPr>
        <w:t>Anne Goppel</w:t>
      </w:r>
      <w:r w:rsidRPr="00BC60DD">
        <w:rPr>
          <w:rFonts w:ascii="Cambria" w:hAnsi="Cambria"/>
        </w:rPr>
        <w:t xml:space="preserve"> (09:45):</w:t>
      </w:r>
      <w:r>
        <w:rPr>
          <w:rFonts w:ascii="Cambria" w:hAnsi="Cambria"/>
        </w:rPr>
        <w:t xml:space="preserve"> </w:t>
      </w:r>
      <w:r w:rsidRPr="00BC60DD">
        <w:rPr>
          <w:rFonts w:ascii="Cambria" w:hAnsi="Cambria"/>
        </w:rPr>
        <w:t xml:space="preserve">Jetzt: Wie passiert das genau? Einer willigt ein und dann kommt auf der anderen Seite eine Erlaubnis raus. Mich würde interessieren, wie eine erfolgreiche Einwilligung diese normative Veränderung mit sich bringt. Eine erstmal naheliegende Idee wäre, indem ich einwillige, gebe ich meinem Gegenüber einen zusätzlichen Grund, diese Handlung auszuführen. Ist das eine plausible Erklärung der normativen Wirkung von Einwilligung? </w:t>
      </w:r>
    </w:p>
    <w:p w14:paraId="1E132CF9" w14:textId="77777777" w:rsidR="005169BB" w:rsidRPr="00BC60DD" w:rsidRDefault="005169BB" w:rsidP="005169BB">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 xml:space="preserve">Ich glaube nicht, dass es eine hinreichende Erklärung ist oder eine hinreichende und plausible Erklärung des normativen Effektes, den Einwilligung hat. Es ist sicherlich oft so, in den Fällen, über die wir vorhin gesprochen haben, in denen mit der Einwilligung auch das einhergeht, dass ich will, dass die Handlung ausgeführt wird. Das mag dir vielleicht einen Grund geben, die Handlung auszuführen, aber ich denke, dass die Einwilligung selber nicht so einen Grund gibt. Nehmen wir nochmal einen medizinischen Fall. Es wäre seltsam zu sagen, dass in dem Fall, in dem eine Patientin noch nicht in eine Hüftgelenkstransplantation eingewilligt hat, noch nicht genug für diesen Eingriff spricht, sondern intuitiv scheinen wir diese Situation so zu beschreiben, dass da eine ganze Reihe von Dingen für den Eingriff spricht, dass aber auch ein ziemlich gewichtiges normatives Hindernis im Weg steht und es scheint eher so zu sein, dass die Einwilligung dieses Hindernis aus dem Weg räumt, als dass sie sozusagen noch etwas in die Pro-Waagschale dazulegt. Deswegen ist, glaube ich, </w:t>
      </w:r>
      <w:proofErr w:type="gramStart"/>
      <w:r w:rsidRPr="00BC60DD">
        <w:rPr>
          <w:rFonts w:ascii="Cambria" w:hAnsi="Cambria"/>
        </w:rPr>
        <w:t>das</w:t>
      </w:r>
      <w:proofErr w:type="gramEnd"/>
      <w:r w:rsidRPr="00BC60DD">
        <w:rPr>
          <w:rFonts w:ascii="Cambria" w:hAnsi="Cambria"/>
        </w:rPr>
        <w:t xml:space="preserve"> keine angemessene Beschreibung dessen, was die Einwilligung da macht.</w:t>
      </w:r>
    </w:p>
    <w:p w14:paraId="60B11476" w14:textId="77777777" w:rsidR="005169BB" w:rsidRPr="00BC60DD" w:rsidRDefault="005169BB" w:rsidP="005169BB">
      <w:pPr>
        <w:spacing w:afterLines="60" w:after="144" w:line="276" w:lineRule="auto"/>
        <w:jc w:val="both"/>
        <w:rPr>
          <w:rFonts w:ascii="Cambria" w:hAnsi="Cambria"/>
        </w:rPr>
      </w:pPr>
      <w:r w:rsidRPr="00F20B6F">
        <w:rPr>
          <w:rFonts w:ascii="Cambria" w:hAnsi="Cambria"/>
          <w:b/>
        </w:rPr>
        <w:t xml:space="preserve">Andreas </w:t>
      </w:r>
      <w:proofErr w:type="spellStart"/>
      <w:r w:rsidRPr="00F20B6F">
        <w:rPr>
          <w:rFonts w:ascii="Cambria" w:hAnsi="Cambria"/>
          <w:b/>
        </w:rPr>
        <w:t>Cassee</w:t>
      </w:r>
      <w:proofErr w:type="spellEnd"/>
      <w:r w:rsidRPr="00BC60DD">
        <w:rPr>
          <w:rFonts w:ascii="Cambria" w:hAnsi="Cambria"/>
        </w:rPr>
        <w:t xml:space="preserve"> (11:11):</w:t>
      </w:r>
      <w:r>
        <w:rPr>
          <w:rFonts w:ascii="Cambria" w:hAnsi="Cambria"/>
        </w:rPr>
        <w:t xml:space="preserve"> </w:t>
      </w:r>
      <w:r w:rsidRPr="00BC60DD">
        <w:rPr>
          <w:rFonts w:ascii="Cambria" w:hAnsi="Cambria"/>
        </w:rPr>
        <w:t xml:space="preserve">Wenn die Erklärung über zusätzliche Gründe in der Pro-Waagschale nicht funktioniert, könnte man ja es mit weniger Gründen in der Anti-Waagschale versuchen. Die Idee wäre dann, </w:t>
      </w:r>
      <w:proofErr w:type="gramStart"/>
      <w:r w:rsidRPr="00BC60DD">
        <w:rPr>
          <w:rFonts w:ascii="Cambria" w:hAnsi="Cambria"/>
        </w:rPr>
        <w:t>das</w:t>
      </w:r>
      <w:proofErr w:type="gramEnd"/>
      <w:r w:rsidRPr="00BC60DD">
        <w:rPr>
          <w:rFonts w:ascii="Cambria" w:hAnsi="Cambria"/>
        </w:rPr>
        <w:t xml:space="preserve"> Nicht-Vorliegen einer Einwilligung ist ein Grund, die Operation nicht durchzuführen und indem man eine Einwilligung gibt, nimmt man da was aus der Anti-Waagschale raus. Ist das überzeugender?</w:t>
      </w:r>
    </w:p>
    <w:p w14:paraId="046AE211" w14:textId="77777777" w:rsidR="005169BB" w:rsidRPr="00BC60DD" w:rsidRDefault="005169BB" w:rsidP="005169BB">
      <w:pPr>
        <w:spacing w:afterLines="60" w:after="144" w:line="276" w:lineRule="auto"/>
        <w:jc w:val="both"/>
        <w:rPr>
          <w:rFonts w:ascii="Cambria" w:hAnsi="Cambria"/>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 xml:space="preserve">Also ich glaube es ist überzeugend, dass das Geben einer Einwilligung dafür sorgt, dass weniger in der Gegen-Waagschale liegt, wenn man mit der Metapher weiterreden möchte, als vorher. Und es gibt jetzt so zwei Weisen, auf die das geschehen kann. Das eine ist die, die du angesprochen hast, dass das Nicht-Vorliegen der Einwilligung selbst so ein negativer Grund ist, der vorher in der Gegen-Waagschale lag und dass </w:t>
      </w:r>
      <w:r w:rsidRPr="00BC60DD">
        <w:rPr>
          <w:rFonts w:ascii="Cambria" w:hAnsi="Cambria"/>
        </w:rPr>
        <w:lastRenderedPageBreak/>
        <w:t xml:space="preserve">ich einfach, indem ich einwillige, sozusagen auf ganz triviale Weise dafür </w:t>
      </w:r>
      <w:proofErr w:type="spellStart"/>
      <w:r w:rsidRPr="00BC60DD">
        <w:rPr>
          <w:rFonts w:ascii="Cambria" w:hAnsi="Cambria"/>
        </w:rPr>
        <w:t>sorge</w:t>
      </w:r>
      <w:proofErr w:type="spellEnd"/>
      <w:r w:rsidRPr="00BC60DD">
        <w:rPr>
          <w:rFonts w:ascii="Cambria" w:hAnsi="Cambria"/>
        </w:rPr>
        <w:t xml:space="preserve">, dass der natürlich nicht mehr da drin liegt, weil jetzt habe ich ja eingewilligt, jetzt ist es nicht mehr eine Handlung, in die nicht eingewilligt wurde. Und ich glaube, dass das wiederum nicht plausibel ist, zumindest nicht alles ist, was wir über die normative Relevanz von Einwilligung sagen sollten. Zunächst mal aus dem ganz einfachen Grund, dass es ziemlich viele Handlungen gibt, für die gilt, dass es Handlungen sind, in die eine andere Person nicht eingewilligt hat. Also es passieren ständig um mich herum Dinge, in die ich nicht einwillige. Und ziemlich oft ist das kein Grund dagegen, diese Handlung auszuführen. Selbst wenn es Handlungen sind, die mich irgendwie betreffen, etwa weil sich eine Person irgendwie im Bus auf eine Weise hinsetzt, dass ich sie sehen kann oder vielleicht sogar neben mich, auch wenn da noch genug Platz ist. Das ist, glaube ich, alles nichts, wo Einwilligung im eigentlichen Sinne relevant ist und das heißt, dass man dann, wenn man sagen möchte, in den Fällen, in denen Einwilligung relevant ist, ist das Nicht-Vorliegen der Einwilligung ein Gegengrund der aus der Waagschale heraus genommen wird, muss man irgendwas dazu sagen, was diese Fälle unterscheidet von Fällen, in denen ebenfalls keine Einwilligung vorliegt, das aber nicht in einer Gegen-Waagschale liegt. </w:t>
      </w:r>
    </w:p>
    <w:p w14:paraId="136F4892" w14:textId="564F47F8" w:rsidR="005169BB" w:rsidRDefault="005169BB" w:rsidP="005169BB">
      <w:pPr>
        <w:spacing w:afterLines="60" w:after="144" w:line="276" w:lineRule="auto"/>
        <w:jc w:val="both"/>
        <w:rPr>
          <w:rFonts w:ascii="Cambria" w:hAnsi="Cambria"/>
        </w:rPr>
      </w:pPr>
      <w:r w:rsidRPr="00BC60DD">
        <w:rPr>
          <w:rFonts w:ascii="Cambria" w:hAnsi="Cambria"/>
        </w:rPr>
        <w:t>Und deswegen, glaube ich, ist eine plausiblere Weise zu erklären, wie die Einwilligung dafür sorgt, dass weniger Gründe gegen die Handlung sprechen, als wenn die Einwilligung nicht erfolgt, also weniger Dinge in der Gegen-Waagschale liegen, dass die Einwilligung sozusagen die anderen Dinge, die da noch so in der Gegen-Waagschale liegen, die anderen Gesichtspunkte, die gegen die Handlung sprechen, außer Kraft setzt oder, um die Metapher noch ein bisschen weiter zu treiben, aus der Gegen-Waagschale herausnimmt.</w:t>
      </w:r>
    </w:p>
    <w:p w14:paraId="359F11ED" w14:textId="77777777" w:rsidR="0053453D" w:rsidRDefault="0053453D" w:rsidP="005169BB">
      <w:pPr>
        <w:spacing w:afterLines="60" w:after="144" w:line="276" w:lineRule="auto"/>
        <w:jc w:val="both"/>
        <w:rPr>
          <w:rFonts w:ascii="Cambria" w:hAnsi="Cambria"/>
        </w:rPr>
        <w:sectPr w:rsidR="0053453D" w:rsidSect="0053453D">
          <w:type w:val="continuous"/>
          <w:pgSz w:w="11900" w:h="16840"/>
          <w:pgMar w:top="1418" w:right="1418" w:bottom="1134" w:left="1418" w:header="709" w:footer="709" w:gutter="0"/>
          <w:lnNumType w:countBy="3" w:restart="newSection"/>
          <w:cols w:space="708"/>
          <w:docGrid w:linePitch="360"/>
        </w:sectPr>
      </w:pPr>
    </w:p>
    <w:p w14:paraId="4DBDA629" w14:textId="77777777" w:rsidR="00C70B17" w:rsidRPr="006F3418" w:rsidRDefault="00C70B17" w:rsidP="00C70B17">
      <w:pPr>
        <w:spacing w:line="276" w:lineRule="auto"/>
        <w:rPr>
          <w:rFonts w:ascii="Cambria" w:hAnsi="Cambria"/>
          <w:color w:val="000000" w:themeColor="text1"/>
          <w:sz w:val="20"/>
          <w:szCs w:val="20"/>
        </w:rPr>
      </w:pPr>
      <w:r w:rsidRPr="006F3418">
        <w:rPr>
          <w:rFonts w:ascii="Cambria" w:hAnsi="Cambria"/>
          <w:b/>
          <w:color w:val="000000" w:themeColor="text1"/>
          <w:sz w:val="20"/>
          <w:szCs w:val="20"/>
        </w:rPr>
        <w:t>Quelle</w:t>
      </w:r>
      <w:r w:rsidRPr="006F3418">
        <w:rPr>
          <w:rFonts w:ascii="Cambria" w:hAnsi="Cambria"/>
          <w:color w:val="000000" w:themeColor="text1"/>
          <w:sz w:val="20"/>
          <w:szCs w:val="20"/>
        </w:rPr>
        <w:t>: Andreas Müller</w:t>
      </w:r>
      <w:r>
        <w:rPr>
          <w:rFonts w:ascii="Cambria" w:hAnsi="Cambria"/>
          <w:color w:val="000000" w:themeColor="text1"/>
          <w:sz w:val="20"/>
          <w:szCs w:val="20"/>
        </w:rPr>
        <w:t xml:space="preserve"> (2018)</w:t>
      </w:r>
      <w:r w:rsidRPr="006F3418">
        <w:rPr>
          <w:rFonts w:ascii="Cambria" w:hAnsi="Cambria"/>
          <w:color w:val="000000" w:themeColor="text1"/>
          <w:sz w:val="20"/>
          <w:szCs w:val="20"/>
        </w:rPr>
        <w:t xml:space="preserve">: Einwilligung. </w:t>
      </w:r>
      <w:r>
        <w:rPr>
          <w:rFonts w:ascii="Cambria" w:hAnsi="Cambria"/>
          <w:color w:val="000000" w:themeColor="text1"/>
          <w:sz w:val="20"/>
          <w:szCs w:val="20"/>
        </w:rPr>
        <w:t xml:space="preserve">Aus: </w:t>
      </w:r>
      <w:r w:rsidRPr="006F3418">
        <w:rPr>
          <w:rFonts w:ascii="Cambria" w:hAnsi="Cambria"/>
          <w:color w:val="000000" w:themeColor="text1"/>
          <w:sz w:val="20"/>
          <w:szCs w:val="20"/>
        </w:rPr>
        <w:t xml:space="preserve">Andreas </w:t>
      </w:r>
      <w:proofErr w:type="spellStart"/>
      <w:r w:rsidRPr="006F3418">
        <w:rPr>
          <w:rFonts w:ascii="Cambria" w:hAnsi="Cambria"/>
          <w:color w:val="000000" w:themeColor="text1"/>
          <w:sz w:val="20"/>
          <w:szCs w:val="20"/>
        </w:rPr>
        <w:t>Cassee</w:t>
      </w:r>
      <w:proofErr w:type="spellEnd"/>
      <w:r w:rsidRPr="006F3418">
        <w:rPr>
          <w:rFonts w:ascii="Cambria" w:hAnsi="Cambria"/>
          <w:color w:val="000000" w:themeColor="text1"/>
          <w:sz w:val="20"/>
          <w:szCs w:val="20"/>
        </w:rPr>
        <w:t xml:space="preserve"> und Anna Goppel: Hinterfragt – Der Ethik-Podcast, online unter: </w:t>
      </w:r>
      <w:hyperlink r:id="rId15" w:history="1">
        <w:r w:rsidRPr="006F3418">
          <w:rPr>
            <w:rStyle w:val="Hyperlink"/>
            <w:rFonts w:ascii="Cambria" w:hAnsi="Cambria"/>
            <w:color w:val="000000" w:themeColor="text1"/>
            <w:sz w:val="20"/>
            <w:szCs w:val="20"/>
          </w:rPr>
          <w:t>https://www.philosophie.unibe.ch/ueber_uns/aktuell/podcast/index_ger.html</w:t>
        </w:r>
      </w:hyperlink>
      <w:r w:rsidRPr="006F3418">
        <w:rPr>
          <w:rFonts w:ascii="Cambria" w:hAnsi="Cambria"/>
          <w:color w:val="000000" w:themeColor="text1"/>
          <w:sz w:val="20"/>
          <w:szCs w:val="20"/>
        </w:rPr>
        <w:t xml:space="preserve">, letzter Zugriff: </w:t>
      </w:r>
      <w:r>
        <w:rPr>
          <w:rFonts w:ascii="Cambria" w:hAnsi="Cambria"/>
          <w:color w:val="000000" w:themeColor="text1"/>
          <w:sz w:val="20"/>
          <w:szCs w:val="20"/>
        </w:rPr>
        <w:t>01</w:t>
      </w:r>
      <w:r w:rsidRPr="006F3418">
        <w:rPr>
          <w:rFonts w:ascii="Cambria" w:hAnsi="Cambria"/>
          <w:color w:val="000000" w:themeColor="text1"/>
          <w:sz w:val="20"/>
          <w:szCs w:val="20"/>
        </w:rPr>
        <w:t>.1</w:t>
      </w:r>
      <w:r>
        <w:rPr>
          <w:rFonts w:ascii="Cambria" w:hAnsi="Cambria"/>
          <w:color w:val="000000" w:themeColor="text1"/>
          <w:sz w:val="20"/>
          <w:szCs w:val="20"/>
        </w:rPr>
        <w:t>1</w:t>
      </w:r>
      <w:r w:rsidRPr="006F3418">
        <w:rPr>
          <w:rFonts w:ascii="Cambria" w:hAnsi="Cambria"/>
          <w:color w:val="000000" w:themeColor="text1"/>
          <w:sz w:val="20"/>
          <w:szCs w:val="20"/>
        </w:rPr>
        <w:t xml:space="preserve">.2020. </w:t>
      </w:r>
    </w:p>
    <w:p w14:paraId="30438294" w14:textId="77777777" w:rsidR="00B51197" w:rsidRDefault="00B51197" w:rsidP="005169BB">
      <w:pPr>
        <w:spacing w:line="276" w:lineRule="auto"/>
        <w:jc w:val="both"/>
        <w:rPr>
          <w:rFonts w:ascii="Cambria" w:hAnsi="Cambria"/>
        </w:rPr>
      </w:pPr>
    </w:p>
    <w:p w14:paraId="6F4F3A01" w14:textId="7D07D356" w:rsidR="005169BB" w:rsidRDefault="005169BB" w:rsidP="005169BB">
      <w:pPr>
        <w:spacing w:line="276" w:lineRule="auto"/>
        <w:jc w:val="both"/>
        <w:rPr>
          <w:rFonts w:ascii="Cambria" w:hAnsi="Cambria"/>
        </w:rPr>
      </w:pPr>
      <w:r>
        <w:rPr>
          <w:rFonts w:ascii="Cambria" w:hAnsi="Cambria"/>
          <w:b/>
          <w:bCs/>
        </w:rPr>
        <w:t xml:space="preserve">Auszug 3 aus einem </w:t>
      </w:r>
      <w:r w:rsidRPr="00BC60DD">
        <w:rPr>
          <w:rFonts w:ascii="Cambria" w:hAnsi="Cambria"/>
          <w:b/>
          <w:bCs/>
        </w:rPr>
        <w:t xml:space="preserve">Gespräch mit Andreas Müller zum Thema Einwilligung </w:t>
      </w:r>
      <w:r>
        <w:rPr>
          <w:rFonts w:ascii="Cambria" w:hAnsi="Cambria"/>
          <w:b/>
          <w:bCs/>
        </w:rPr>
        <w:t>(2018)</w:t>
      </w:r>
    </w:p>
    <w:p w14:paraId="5EC30ECE" w14:textId="77777777" w:rsidR="00743B95" w:rsidRDefault="00743B95" w:rsidP="005169BB">
      <w:pPr>
        <w:spacing w:line="276" w:lineRule="auto"/>
        <w:jc w:val="both"/>
        <w:rPr>
          <w:rFonts w:ascii="Cambria" w:hAnsi="Cambria"/>
        </w:rPr>
      </w:pPr>
    </w:p>
    <w:p w14:paraId="34DDAAEB" w14:textId="2028F81C" w:rsidR="00743B95" w:rsidRDefault="00743B95" w:rsidP="005169BB">
      <w:pPr>
        <w:spacing w:line="276" w:lineRule="auto"/>
        <w:jc w:val="both"/>
        <w:rPr>
          <w:rFonts w:ascii="Cambria" w:hAnsi="Cambria"/>
        </w:rPr>
        <w:sectPr w:rsidR="00743B95" w:rsidSect="0053453D">
          <w:type w:val="continuous"/>
          <w:pgSz w:w="11900" w:h="16840"/>
          <w:pgMar w:top="1417" w:right="1417" w:bottom="1134" w:left="1417" w:header="708" w:footer="708" w:gutter="0"/>
          <w:cols w:space="708"/>
          <w:docGrid w:linePitch="360"/>
        </w:sectPr>
      </w:pPr>
    </w:p>
    <w:p w14:paraId="04787755" w14:textId="30C074CC" w:rsidR="000854C8" w:rsidRPr="000854C8" w:rsidRDefault="000854C8" w:rsidP="005169BB">
      <w:pPr>
        <w:spacing w:afterLines="60" w:after="144" w:line="276" w:lineRule="auto"/>
        <w:jc w:val="both"/>
        <w:rPr>
          <w:rFonts w:ascii="Cambria" w:hAnsi="Cambria"/>
        </w:rPr>
      </w:pPr>
      <w:r w:rsidRPr="007C2CDC">
        <w:rPr>
          <w:rFonts w:ascii="Cambria" w:hAnsi="Cambria"/>
          <w:b/>
        </w:rPr>
        <w:t>Anna Goppel</w:t>
      </w:r>
      <w:r w:rsidRPr="00BC60DD">
        <w:rPr>
          <w:rFonts w:ascii="Cambria" w:hAnsi="Cambria"/>
        </w:rPr>
        <w:t xml:space="preserve"> (19:53):</w:t>
      </w:r>
      <w:r>
        <w:rPr>
          <w:rFonts w:ascii="Cambria" w:hAnsi="Cambria"/>
        </w:rPr>
        <w:t xml:space="preserve"> </w:t>
      </w:r>
      <w:r w:rsidRPr="00BC60DD">
        <w:rPr>
          <w:rFonts w:ascii="Cambria" w:hAnsi="Cambria"/>
        </w:rPr>
        <w:t>Wenn wir mal bei den Handlungen bleiben, die ohne Einwilligung moralisch nicht erlaubt gewesen wären, können wir eigentlich alle solche Handlungen zu erlaubten Handlungen machen durch unsere Einwilligung?</w:t>
      </w:r>
    </w:p>
    <w:p w14:paraId="376752C8" w14:textId="0BFE7152" w:rsidR="005169BB" w:rsidRDefault="005169BB" w:rsidP="005169BB">
      <w:pPr>
        <w:spacing w:afterLines="60" w:after="144" w:line="276" w:lineRule="auto"/>
        <w:jc w:val="both"/>
        <w:rPr>
          <w:rFonts w:ascii="Cambria" w:hAnsi="Cambria"/>
        </w:rPr>
      </w:pPr>
      <w:r w:rsidRPr="00214FF7">
        <w:rPr>
          <w:rFonts w:ascii="Cambria" w:hAnsi="Cambria"/>
          <w:b/>
        </w:rPr>
        <w:t>Andreas Müller</w:t>
      </w:r>
      <w:r>
        <w:rPr>
          <w:rFonts w:ascii="Cambria" w:hAnsi="Cambria"/>
        </w:rPr>
        <w:t xml:space="preserve">: </w:t>
      </w:r>
      <w:r w:rsidR="000854C8" w:rsidRPr="00BC60DD">
        <w:rPr>
          <w:rFonts w:ascii="Cambria" w:hAnsi="Cambria"/>
        </w:rPr>
        <w:t xml:space="preserve">Natürlich kann ich nicht alle Handlungen, die ansonsten unerlaubt sind, durch meine Einwilligung zu einer erlaubten machen, schon aus dem ganz trivialen Grund nicht, weil wenn die Handlung gar nicht mich betrifft, sondern dich, dann kann ich natürlich nicht wirksam in sie einwilligen. Also ich kann nur einwilligen, dass Andreas mich schlägt, aber natürlich nicht, dass Andreas dich schlägt. Aber so meintest du die Frage natürlich auch nicht, sondern die interessantere Frage ist: Kann ich eigentlich in alle Handlungen einwilligen, die ansonsten mir </w:t>
      </w:r>
      <w:proofErr w:type="gramStart"/>
      <w:r w:rsidR="000854C8" w:rsidRPr="00BC60DD">
        <w:rPr>
          <w:rFonts w:ascii="Cambria" w:hAnsi="Cambria"/>
        </w:rPr>
        <w:t>gegenüber ein Unrecht</w:t>
      </w:r>
      <w:proofErr w:type="gramEnd"/>
      <w:r w:rsidR="000854C8" w:rsidRPr="00BC60DD">
        <w:rPr>
          <w:rFonts w:ascii="Cambria" w:hAnsi="Cambria"/>
        </w:rPr>
        <w:t xml:space="preserve"> wären oder meine Rechte verletzen würden? Und das ist eine schwierige und spannende Frage und ich neige zumindest zu der Antwort „Ja“, dass es möglich ist, grundsätzlich in alle solche Rechteverletzungen oder alle solche ansonsten moralisch unzulässigen Handlungen erfolgreich einwilligen zu können und damit zumindest dafür sorgen zu können, dass die Handlung mir </w:t>
      </w:r>
      <w:proofErr w:type="gramStart"/>
      <w:r w:rsidR="000854C8" w:rsidRPr="00BC60DD">
        <w:rPr>
          <w:rFonts w:ascii="Cambria" w:hAnsi="Cambria"/>
        </w:rPr>
        <w:t>gegenüber kein Unrecht</w:t>
      </w:r>
      <w:proofErr w:type="gramEnd"/>
      <w:r w:rsidR="000854C8" w:rsidRPr="00BC60DD">
        <w:rPr>
          <w:rFonts w:ascii="Cambria" w:hAnsi="Cambria"/>
        </w:rPr>
        <w:t xml:space="preserve"> darstellt. </w:t>
      </w:r>
      <w:r w:rsidRPr="00BC60DD">
        <w:rPr>
          <w:rFonts w:ascii="Cambria" w:hAnsi="Cambria"/>
        </w:rPr>
        <w:t xml:space="preserve"> </w:t>
      </w:r>
    </w:p>
    <w:p w14:paraId="11DF9947" w14:textId="573D0E11" w:rsidR="005169BB" w:rsidRDefault="005169BB" w:rsidP="005169BB">
      <w:pPr>
        <w:spacing w:afterLines="60" w:after="144" w:line="276" w:lineRule="auto"/>
        <w:jc w:val="both"/>
        <w:rPr>
          <w:rFonts w:ascii="Cambria" w:hAnsi="Cambria"/>
        </w:rPr>
      </w:pPr>
      <w:r w:rsidRPr="007C2CDC">
        <w:rPr>
          <w:rFonts w:ascii="Cambria" w:hAnsi="Cambria"/>
          <w:b/>
        </w:rPr>
        <w:lastRenderedPageBreak/>
        <w:t xml:space="preserve">Andreas </w:t>
      </w:r>
      <w:proofErr w:type="spellStart"/>
      <w:r w:rsidRPr="007C2CDC">
        <w:rPr>
          <w:rFonts w:ascii="Cambria" w:hAnsi="Cambria"/>
          <w:b/>
        </w:rPr>
        <w:t>Cassee</w:t>
      </w:r>
      <w:proofErr w:type="spellEnd"/>
      <w:r>
        <w:rPr>
          <w:rFonts w:ascii="Cambria" w:hAnsi="Cambria"/>
          <w:b/>
        </w:rPr>
        <w:t xml:space="preserve"> </w:t>
      </w:r>
      <w:r w:rsidRPr="00BC60DD">
        <w:rPr>
          <w:rFonts w:ascii="Cambria" w:hAnsi="Cambria"/>
        </w:rPr>
        <w:t>(20:56):</w:t>
      </w:r>
      <w:r>
        <w:rPr>
          <w:rFonts w:ascii="Cambria" w:hAnsi="Cambria"/>
        </w:rPr>
        <w:t xml:space="preserve"> </w:t>
      </w:r>
      <w:r w:rsidRPr="00BC60DD">
        <w:rPr>
          <w:rFonts w:ascii="Cambria" w:hAnsi="Cambria"/>
        </w:rPr>
        <w:t>Und das heißt, dass sogar diese Extremfälle</w:t>
      </w:r>
      <w:r w:rsidR="003A5B2E">
        <w:rPr>
          <w:rFonts w:ascii="Cambria" w:hAnsi="Cambria"/>
        </w:rPr>
        <w:t>,</w:t>
      </w:r>
      <w:r w:rsidRPr="00BC60DD">
        <w:rPr>
          <w:rFonts w:ascii="Cambria" w:hAnsi="Cambria"/>
        </w:rPr>
        <w:t xml:space="preserve"> z.B. in </w:t>
      </w:r>
      <w:proofErr w:type="spellStart"/>
      <w:r w:rsidRPr="00BC60DD">
        <w:rPr>
          <w:rFonts w:ascii="Cambria" w:hAnsi="Cambria"/>
        </w:rPr>
        <w:t>kannibalistische</w:t>
      </w:r>
      <w:proofErr w:type="spellEnd"/>
      <w:r w:rsidRPr="00BC60DD">
        <w:rPr>
          <w:rFonts w:ascii="Cambria" w:hAnsi="Cambria"/>
        </w:rPr>
        <w:t xml:space="preserve"> Praktiken einwilligen, wäre eigentlich in Ordnung, wenn es informiert, freiwillig und so weiter ist.</w:t>
      </w:r>
    </w:p>
    <w:p w14:paraId="4BCB6C5B" w14:textId="40DB8EAB" w:rsidR="000854C8" w:rsidRPr="008F17AB" w:rsidRDefault="005169BB" w:rsidP="000854C8">
      <w:pPr>
        <w:spacing w:afterLines="60" w:after="144" w:line="276" w:lineRule="auto"/>
        <w:jc w:val="both"/>
        <w:rPr>
          <w:rFonts w:ascii="Cambria" w:hAnsi="Cambria"/>
          <w:color w:val="000000" w:themeColor="text1"/>
        </w:rPr>
      </w:pPr>
      <w:r w:rsidRPr="00BC60DD">
        <w:rPr>
          <w:rFonts w:ascii="Cambria" w:hAnsi="Cambria"/>
          <w:b/>
        </w:rPr>
        <w:t>Andreas Müller</w:t>
      </w:r>
      <w:r w:rsidRPr="00BC60DD">
        <w:rPr>
          <w:rFonts w:ascii="Cambria" w:hAnsi="Cambria"/>
        </w:rPr>
        <w:t>:</w:t>
      </w:r>
      <w:r>
        <w:rPr>
          <w:rFonts w:ascii="Cambria" w:hAnsi="Cambria"/>
        </w:rPr>
        <w:t xml:space="preserve"> </w:t>
      </w:r>
      <w:r w:rsidRPr="00BC60DD">
        <w:rPr>
          <w:rFonts w:ascii="Cambria" w:hAnsi="Cambria"/>
        </w:rPr>
        <w:t>Genau. Das ist einer der Fälle, der in der Diskussion natürlich immer wieder aufkommt. Der sogenannte Kannibale von Rotenburg oder ein jüngerer Fall aus der Nähe von Leipzig.</w:t>
      </w:r>
      <w:r>
        <w:rPr>
          <w:rStyle w:val="Funotenzeichen"/>
          <w:rFonts w:ascii="Cambria" w:hAnsi="Cambria"/>
        </w:rPr>
        <w:footnoteReference w:id="1"/>
      </w:r>
      <w:r w:rsidRPr="00BC60DD">
        <w:rPr>
          <w:rFonts w:ascii="Cambria" w:hAnsi="Cambria"/>
        </w:rPr>
        <w:t xml:space="preserve"> </w:t>
      </w:r>
      <w:r w:rsidR="000854C8" w:rsidRPr="00BC60DD">
        <w:rPr>
          <w:rFonts w:ascii="Cambria" w:hAnsi="Cambria"/>
        </w:rPr>
        <w:t xml:space="preserve">Wichtig ist: Wenn es so ist, dass die Gültigkeitsbedingungen, über die wir vorhin gesprochen haben – Freiwilligkeit, Kompetenz und Informiertheit – vorliegen. Manch einer mag meinen, dass es Handlungen gibt, für die gilt, dass in sie einzuwilligen oder zu versuchen, in sie einzuwilligen schon zeigt, dass die Person nicht kompetent ist, sondern dass mit der in irgendeiner Weise irgendetwas nicht stimmt, dass die Einwilligung gar nicht gültig sein kann. Das glaube ich nicht. Ich glaube diese Gültigkeitsbedingungen sind erstmal grundsätzlich unabhängig vom Gegenstand der Einwilligung. Es ist aber sicherlich so, dass man in solchen Fällen erstmal ganz guten Anlass hat, nochmal genau nachzuschauen, ob die Gültigkeitsbedingungen </w:t>
      </w:r>
      <w:proofErr w:type="gramStart"/>
      <w:r w:rsidR="000854C8" w:rsidRPr="00BC60DD">
        <w:rPr>
          <w:rFonts w:ascii="Cambria" w:hAnsi="Cambria"/>
        </w:rPr>
        <w:t>erfüllt</w:t>
      </w:r>
      <w:proofErr w:type="gramEnd"/>
      <w:r w:rsidR="000854C8" w:rsidRPr="00BC60DD">
        <w:rPr>
          <w:rFonts w:ascii="Cambria" w:hAnsi="Cambria"/>
        </w:rPr>
        <w:t xml:space="preserve"> sind. Einerseits, weil es um ziemlich viel geht in dem Fall, wie auch in anderen Fällen um das Leben der Person, aber auch, weil es eben statistisch vermutlich relativ wahrscheinlich ist, dass in vielen solcher Fälle tatsächlich eine Gültigkeitsbedingung der Einwilligung etwas nicht stimmt. Aber grundsätzlich sind Fälle denkbar, in denen die Einwilligung gültig ist und dann auch wirksam ist, d.h. dass das Recht des Opfers in dem Fall nicht mehr verletzt wird durch die </w:t>
      </w:r>
      <w:r w:rsidR="000854C8" w:rsidRPr="008F17AB">
        <w:rPr>
          <w:rFonts w:ascii="Cambria" w:hAnsi="Cambria"/>
          <w:color w:val="000000" w:themeColor="text1"/>
        </w:rPr>
        <w:t>Handlung.</w:t>
      </w:r>
    </w:p>
    <w:p w14:paraId="0DC171B4" w14:textId="77777777" w:rsidR="00743B95" w:rsidRPr="008F17AB" w:rsidRDefault="00743B95" w:rsidP="005169BB">
      <w:pPr>
        <w:spacing w:afterLines="60" w:after="144" w:line="276" w:lineRule="auto"/>
        <w:jc w:val="both"/>
        <w:rPr>
          <w:rFonts w:ascii="Cambria" w:hAnsi="Cambria"/>
          <w:color w:val="000000" w:themeColor="text1"/>
        </w:rPr>
        <w:sectPr w:rsidR="00743B95" w:rsidRPr="008F17AB" w:rsidSect="00743B95">
          <w:type w:val="continuous"/>
          <w:pgSz w:w="11900" w:h="16840"/>
          <w:pgMar w:top="1418" w:right="1418" w:bottom="1134" w:left="1418" w:header="709" w:footer="709" w:gutter="0"/>
          <w:lnNumType w:countBy="3" w:restart="newSection"/>
          <w:cols w:space="708"/>
          <w:docGrid w:linePitch="360"/>
        </w:sectPr>
      </w:pPr>
    </w:p>
    <w:p w14:paraId="50E02857" w14:textId="77777777" w:rsidR="00C70B17" w:rsidRPr="006F3418" w:rsidRDefault="00C70B17" w:rsidP="00C70B17">
      <w:pPr>
        <w:spacing w:line="276" w:lineRule="auto"/>
        <w:rPr>
          <w:rFonts w:ascii="Cambria" w:hAnsi="Cambria"/>
          <w:color w:val="000000" w:themeColor="text1"/>
          <w:sz w:val="20"/>
          <w:szCs w:val="20"/>
        </w:rPr>
      </w:pPr>
      <w:r w:rsidRPr="006F3418">
        <w:rPr>
          <w:rFonts w:ascii="Cambria" w:hAnsi="Cambria"/>
          <w:b/>
          <w:color w:val="000000" w:themeColor="text1"/>
          <w:sz w:val="20"/>
          <w:szCs w:val="20"/>
        </w:rPr>
        <w:t>Quelle</w:t>
      </w:r>
      <w:r w:rsidRPr="006F3418">
        <w:rPr>
          <w:rFonts w:ascii="Cambria" w:hAnsi="Cambria"/>
          <w:color w:val="000000" w:themeColor="text1"/>
          <w:sz w:val="20"/>
          <w:szCs w:val="20"/>
        </w:rPr>
        <w:t>: Andreas Müller</w:t>
      </w:r>
      <w:r>
        <w:rPr>
          <w:rFonts w:ascii="Cambria" w:hAnsi="Cambria"/>
          <w:color w:val="000000" w:themeColor="text1"/>
          <w:sz w:val="20"/>
          <w:szCs w:val="20"/>
        </w:rPr>
        <w:t xml:space="preserve"> (2018)</w:t>
      </w:r>
      <w:r w:rsidRPr="006F3418">
        <w:rPr>
          <w:rFonts w:ascii="Cambria" w:hAnsi="Cambria"/>
          <w:color w:val="000000" w:themeColor="text1"/>
          <w:sz w:val="20"/>
          <w:szCs w:val="20"/>
        </w:rPr>
        <w:t xml:space="preserve">: Einwilligung. </w:t>
      </w:r>
      <w:r>
        <w:rPr>
          <w:rFonts w:ascii="Cambria" w:hAnsi="Cambria"/>
          <w:color w:val="000000" w:themeColor="text1"/>
          <w:sz w:val="20"/>
          <w:szCs w:val="20"/>
        </w:rPr>
        <w:t xml:space="preserve">Aus: </w:t>
      </w:r>
      <w:r w:rsidRPr="006F3418">
        <w:rPr>
          <w:rFonts w:ascii="Cambria" w:hAnsi="Cambria"/>
          <w:color w:val="000000" w:themeColor="text1"/>
          <w:sz w:val="20"/>
          <w:szCs w:val="20"/>
        </w:rPr>
        <w:t xml:space="preserve">Andreas </w:t>
      </w:r>
      <w:proofErr w:type="spellStart"/>
      <w:r w:rsidRPr="006F3418">
        <w:rPr>
          <w:rFonts w:ascii="Cambria" w:hAnsi="Cambria"/>
          <w:color w:val="000000" w:themeColor="text1"/>
          <w:sz w:val="20"/>
          <w:szCs w:val="20"/>
        </w:rPr>
        <w:t>Cassee</w:t>
      </w:r>
      <w:proofErr w:type="spellEnd"/>
      <w:r w:rsidRPr="006F3418">
        <w:rPr>
          <w:rFonts w:ascii="Cambria" w:hAnsi="Cambria"/>
          <w:color w:val="000000" w:themeColor="text1"/>
          <w:sz w:val="20"/>
          <w:szCs w:val="20"/>
        </w:rPr>
        <w:t xml:space="preserve"> und Anna Goppel: Hinterfragt – Der Ethik-Podcast, online unter: </w:t>
      </w:r>
      <w:hyperlink r:id="rId16" w:history="1">
        <w:r w:rsidRPr="006F3418">
          <w:rPr>
            <w:rStyle w:val="Hyperlink"/>
            <w:rFonts w:ascii="Cambria" w:hAnsi="Cambria"/>
            <w:color w:val="000000" w:themeColor="text1"/>
            <w:sz w:val="20"/>
            <w:szCs w:val="20"/>
          </w:rPr>
          <w:t>https://www.philosophie.unibe.ch/ueber_uns/aktuell/podcast/index_ger.html</w:t>
        </w:r>
      </w:hyperlink>
      <w:r w:rsidRPr="006F3418">
        <w:rPr>
          <w:rFonts w:ascii="Cambria" w:hAnsi="Cambria"/>
          <w:color w:val="000000" w:themeColor="text1"/>
          <w:sz w:val="20"/>
          <w:szCs w:val="20"/>
        </w:rPr>
        <w:t xml:space="preserve">, letzter Zugriff: </w:t>
      </w:r>
      <w:r>
        <w:rPr>
          <w:rFonts w:ascii="Cambria" w:hAnsi="Cambria"/>
          <w:color w:val="000000" w:themeColor="text1"/>
          <w:sz w:val="20"/>
          <w:szCs w:val="20"/>
        </w:rPr>
        <w:t>01</w:t>
      </w:r>
      <w:r w:rsidRPr="006F3418">
        <w:rPr>
          <w:rFonts w:ascii="Cambria" w:hAnsi="Cambria"/>
          <w:color w:val="000000" w:themeColor="text1"/>
          <w:sz w:val="20"/>
          <w:szCs w:val="20"/>
        </w:rPr>
        <w:t>.1</w:t>
      </w:r>
      <w:r>
        <w:rPr>
          <w:rFonts w:ascii="Cambria" w:hAnsi="Cambria"/>
          <w:color w:val="000000" w:themeColor="text1"/>
          <w:sz w:val="20"/>
          <w:szCs w:val="20"/>
        </w:rPr>
        <w:t>1</w:t>
      </w:r>
      <w:r w:rsidRPr="006F3418">
        <w:rPr>
          <w:rFonts w:ascii="Cambria" w:hAnsi="Cambria"/>
          <w:color w:val="000000" w:themeColor="text1"/>
          <w:sz w:val="20"/>
          <w:szCs w:val="20"/>
        </w:rPr>
        <w:t xml:space="preserve">.2020. </w:t>
      </w:r>
    </w:p>
    <w:p w14:paraId="3C9EE942" w14:textId="77777777" w:rsidR="005169BB" w:rsidRPr="00F50B4B" w:rsidRDefault="005169BB" w:rsidP="005169BB">
      <w:pPr>
        <w:spacing w:line="276" w:lineRule="auto"/>
        <w:jc w:val="both"/>
        <w:rPr>
          <w:rFonts w:ascii="Cambria" w:hAnsi="Cambria"/>
        </w:rPr>
      </w:pPr>
      <w:bookmarkStart w:id="0" w:name="_GoBack"/>
      <w:bookmarkEnd w:id="0"/>
    </w:p>
    <w:sectPr w:rsidR="005169BB" w:rsidRPr="00F50B4B" w:rsidSect="0053453D">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2FCD" w14:textId="77777777" w:rsidR="00972673" w:rsidRDefault="00972673" w:rsidP="00603265">
      <w:r>
        <w:separator/>
      </w:r>
    </w:p>
  </w:endnote>
  <w:endnote w:type="continuationSeparator" w:id="0">
    <w:p w14:paraId="20ADAF03" w14:textId="77777777" w:rsidR="00972673" w:rsidRDefault="00972673" w:rsidP="0060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68266242"/>
      <w:docPartObj>
        <w:docPartGallery w:val="Page Numbers (Bottom of Page)"/>
        <w:docPartUnique/>
      </w:docPartObj>
    </w:sdtPr>
    <w:sdtEndPr>
      <w:rPr>
        <w:rStyle w:val="Seitenzahl"/>
      </w:rPr>
    </w:sdtEndPr>
    <w:sdtContent>
      <w:p w14:paraId="1C36B14E" w14:textId="77777777" w:rsidR="003A6AEB" w:rsidRDefault="003A6AEB" w:rsidP="0007322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C39945" w14:textId="77777777" w:rsidR="003A6AEB" w:rsidRDefault="003A6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41155936"/>
      <w:docPartObj>
        <w:docPartGallery w:val="Page Numbers (Bottom of Page)"/>
        <w:docPartUnique/>
      </w:docPartObj>
    </w:sdtPr>
    <w:sdtEndPr>
      <w:rPr>
        <w:rStyle w:val="Seitenzahl"/>
        <w:rFonts w:ascii="Cambria" w:hAnsi="Cambria"/>
      </w:rPr>
    </w:sdtEndPr>
    <w:sdtContent>
      <w:p w14:paraId="4590CB77" w14:textId="77777777" w:rsidR="003A6AEB" w:rsidRPr="003A6AEB" w:rsidRDefault="003A6AEB" w:rsidP="0007322A">
        <w:pPr>
          <w:pStyle w:val="Fuzeile"/>
          <w:framePr w:wrap="none" w:vAnchor="text" w:hAnchor="margin" w:xAlign="center" w:y="1"/>
          <w:rPr>
            <w:rStyle w:val="Seitenzahl"/>
            <w:rFonts w:ascii="Cambria" w:hAnsi="Cambria"/>
          </w:rPr>
        </w:pPr>
        <w:r w:rsidRPr="003A6AEB">
          <w:rPr>
            <w:rStyle w:val="Seitenzahl"/>
            <w:rFonts w:ascii="Cambria" w:hAnsi="Cambria"/>
          </w:rPr>
          <w:fldChar w:fldCharType="begin"/>
        </w:r>
        <w:r w:rsidRPr="003A6AEB">
          <w:rPr>
            <w:rStyle w:val="Seitenzahl"/>
            <w:rFonts w:ascii="Cambria" w:hAnsi="Cambria"/>
          </w:rPr>
          <w:instrText xml:space="preserve"> PAGE </w:instrText>
        </w:r>
        <w:r w:rsidRPr="003A6AEB">
          <w:rPr>
            <w:rStyle w:val="Seitenzahl"/>
            <w:rFonts w:ascii="Cambria" w:hAnsi="Cambria"/>
          </w:rPr>
          <w:fldChar w:fldCharType="separate"/>
        </w:r>
        <w:r w:rsidRPr="003A6AEB">
          <w:rPr>
            <w:rStyle w:val="Seitenzahl"/>
            <w:rFonts w:ascii="Cambria" w:hAnsi="Cambria"/>
            <w:noProof/>
          </w:rPr>
          <w:t>1</w:t>
        </w:r>
        <w:r w:rsidRPr="003A6AEB">
          <w:rPr>
            <w:rStyle w:val="Seitenzahl"/>
            <w:rFonts w:ascii="Cambria" w:hAnsi="Cambria"/>
          </w:rPr>
          <w:fldChar w:fldCharType="end"/>
        </w:r>
      </w:p>
    </w:sdtContent>
  </w:sdt>
  <w:p w14:paraId="5997CC1D" w14:textId="77777777" w:rsidR="003A6AEB" w:rsidRDefault="003A6A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8A1B" w14:textId="77777777" w:rsidR="00972673" w:rsidRDefault="00972673" w:rsidP="00603265">
      <w:r>
        <w:separator/>
      </w:r>
    </w:p>
  </w:footnote>
  <w:footnote w:type="continuationSeparator" w:id="0">
    <w:p w14:paraId="04B8687E" w14:textId="77777777" w:rsidR="00972673" w:rsidRDefault="00972673" w:rsidP="00603265">
      <w:r>
        <w:continuationSeparator/>
      </w:r>
    </w:p>
  </w:footnote>
  <w:footnote w:id="1">
    <w:p w14:paraId="2CDD664B" w14:textId="4D4ADE87" w:rsidR="005169BB" w:rsidRPr="00EF0A78" w:rsidRDefault="005169BB" w:rsidP="005169BB">
      <w:pPr>
        <w:pStyle w:val="Funotentext"/>
        <w:ind w:left="142" w:hanging="142"/>
        <w:jc w:val="both"/>
        <w:rPr>
          <w:rFonts w:ascii="Cambria" w:hAnsi="Cambria"/>
        </w:rPr>
      </w:pPr>
      <w:r w:rsidRPr="00EF0A78">
        <w:rPr>
          <w:rStyle w:val="Funotenzeichen"/>
          <w:rFonts w:ascii="Cambria" w:hAnsi="Cambria"/>
        </w:rPr>
        <w:footnoteRef/>
      </w:r>
      <w:r w:rsidRPr="00EF0A78">
        <w:rPr>
          <w:rFonts w:ascii="Cambria" w:hAnsi="Cambria"/>
        </w:rPr>
        <w:t xml:space="preserve"> </w:t>
      </w:r>
      <w:r w:rsidR="00EF0A78">
        <w:rPr>
          <w:rFonts w:ascii="Cambria" w:hAnsi="Cambria"/>
        </w:rPr>
        <w:tab/>
      </w:r>
      <w:r w:rsidRPr="00EF0A78">
        <w:rPr>
          <w:rFonts w:ascii="Cambria" w:hAnsi="Cambria"/>
        </w:rPr>
        <w:t xml:space="preserve">In diesen Fällen hat jeweils ein Mann darein eingewilligt, sich durch einen anderen Mann töten und von diesem zerstückelt oder in Teilen gegessen zu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3CC8" w14:textId="77777777" w:rsidR="0054140F" w:rsidRPr="00241E49" w:rsidRDefault="0054140F" w:rsidP="0060326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p w14:paraId="0562CB0E" w14:textId="77777777" w:rsidR="0054140F" w:rsidRDefault="00541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707"/>
    <w:multiLevelType w:val="hybridMultilevel"/>
    <w:tmpl w:val="56DA59F4"/>
    <w:lvl w:ilvl="0" w:tplc="98A2F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514E8"/>
    <w:multiLevelType w:val="hybridMultilevel"/>
    <w:tmpl w:val="5FC0AC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63682"/>
    <w:multiLevelType w:val="hybridMultilevel"/>
    <w:tmpl w:val="A8B4B408"/>
    <w:lvl w:ilvl="0" w:tplc="98A2F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370113"/>
    <w:multiLevelType w:val="hybridMultilevel"/>
    <w:tmpl w:val="A8207B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CC0BC7"/>
    <w:multiLevelType w:val="hybridMultilevel"/>
    <w:tmpl w:val="96B07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B1737C"/>
    <w:multiLevelType w:val="hybridMultilevel"/>
    <w:tmpl w:val="57ACBEA8"/>
    <w:lvl w:ilvl="0" w:tplc="660063A4">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E87A08"/>
    <w:multiLevelType w:val="hybridMultilevel"/>
    <w:tmpl w:val="AB92B50E"/>
    <w:lvl w:ilvl="0" w:tplc="98A2F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BC0F67"/>
    <w:multiLevelType w:val="hybridMultilevel"/>
    <w:tmpl w:val="E042C40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540B6FAE"/>
    <w:multiLevelType w:val="hybridMultilevel"/>
    <w:tmpl w:val="63E0210E"/>
    <w:lvl w:ilvl="0" w:tplc="820A5234">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54A17C8D"/>
    <w:multiLevelType w:val="hybridMultilevel"/>
    <w:tmpl w:val="7DDC0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307BAD"/>
    <w:multiLevelType w:val="hybridMultilevel"/>
    <w:tmpl w:val="FB1E3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C02F3F"/>
    <w:multiLevelType w:val="hybridMultilevel"/>
    <w:tmpl w:val="5FBE5D26"/>
    <w:lvl w:ilvl="0" w:tplc="820A5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6"/>
  </w:num>
  <w:num w:numId="8">
    <w:abstractNumId w:val="3"/>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consecutiveHyphenLimit w:val="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65"/>
    <w:rsid w:val="000041E7"/>
    <w:rsid w:val="00044FEE"/>
    <w:rsid w:val="00070896"/>
    <w:rsid w:val="000770DA"/>
    <w:rsid w:val="000854C8"/>
    <w:rsid w:val="000A3EB4"/>
    <w:rsid w:val="000B21FA"/>
    <w:rsid w:val="00105A3C"/>
    <w:rsid w:val="001962D4"/>
    <w:rsid w:val="001A2436"/>
    <w:rsid w:val="001A7FDA"/>
    <w:rsid w:val="001C1DEE"/>
    <w:rsid w:val="001C4663"/>
    <w:rsid w:val="001D3A55"/>
    <w:rsid w:val="001E0594"/>
    <w:rsid w:val="00214FF7"/>
    <w:rsid w:val="002225C5"/>
    <w:rsid w:val="00236199"/>
    <w:rsid w:val="0024417B"/>
    <w:rsid w:val="0026769A"/>
    <w:rsid w:val="00292B5C"/>
    <w:rsid w:val="002A706C"/>
    <w:rsid w:val="002C73EA"/>
    <w:rsid w:val="002D1161"/>
    <w:rsid w:val="002D1EDA"/>
    <w:rsid w:val="002D48CD"/>
    <w:rsid w:val="002E0544"/>
    <w:rsid w:val="00301817"/>
    <w:rsid w:val="00307036"/>
    <w:rsid w:val="00320124"/>
    <w:rsid w:val="0032770A"/>
    <w:rsid w:val="00340EAB"/>
    <w:rsid w:val="003675F6"/>
    <w:rsid w:val="003A5B2E"/>
    <w:rsid w:val="003A6AEB"/>
    <w:rsid w:val="003E50EE"/>
    <w:rsid w:val="00406D09"/>
    <w:rsid w:val="00444C90"/>
    <w:rsid w:val="00452959"/>
    <w:rsid w:val="0046412A"/>
    <w:rsid w:val="00493080"/>
    <w:rsid w:val="004B4725"/>
    <w:rsid w:val="004C6FCA"/>
    <w:rsid w:val="004D61DE"/>
    <w:rsid w:val="004F19E0"/>
    <w:rsid w:val="004F62CB"/>
    <w:rsid w:val="004F747E"/>
    <w:rsid w:val="00503BC6"/>
    <w:rsid w:val="005169BB"/>
    <w:rsid w:val="0053453D"/>
    <w:rsid w:val="0053735B"/>
    <w:rsid w:val="00540137"/>
    <w:rsid w:val="0054140F"/>
    <w:rsid w:val="00566311"/>
    <w:rsid w:val="005A0C37"/>
    <w:rsid w:val="005C416D"/>
    <w:rsid w:val="005C765C"/>
    <w:rsid w:val="005D23D8"/>
    <w:rsid w:val="005F04F3"/>
    <w:rsid w:val="00603265"/>
    <w:rsid w:val="006209F3"/>
    <w:rsid w:val="0062403C"/>
    <w:rsid w:val="00624501"/>
    <w:rsid w:val="0063685A"/>
    <w:rsid w:val="00645CD9"/>
    <w:rsid w:val="00661798"/>
    <w:rsid w:val="006711B8"/>
    <w:rsid w:val="006F3418"/>
    <w:rsid w:val="00713EEE"/>
    <w:rsid w:val="00716697"/>
    <w:rsid w:val="007428D8"/>
    <w:rsid w:val="00743B95"/>
    <w:rsid w:val="007640FF"/>
    <w:rsid w:val="0078016B"/>
    <w:rsid w:val="007B735E"/>
    <w:rsid w:val="007D08A3"/>
    <w:rsid w:val="007E133C"/>
    <w:rsid w:val="007E7925"/>
    <w:rsid w:val="00801D2C"/>
    <w:rsid w:val="0080788E"/>
    <w:rsid w:val="00811377"/>
    <w:rsid w:val="008415E0"/>
    <w:rsid w:val="00874D60"/>
    <w:rsid w:val="008836C2"/>
    <w:rsid w:val="00885AC5"/>
    <w:rsid w:val="008C2A34"/>
    <w:rsid w:val="008C4D15"/>
    <w:rsid w:val="008E11BA"/>
    <w:rsid w:val="008E5500"/>
    <w:rsid w:val="008F0181"/>
    <w:rsid w:val="008F17AB"/>
    <w:rsid w:val="008F4C1F"/>
    <w:rsid w:val="00924ECD"/>
    <w:rsid w:val="009419DA"/>
    <w:rsid w:val="00972673"/>
    <w:rsid w:val="00977EC9"/>
    <w:rsid w:val="009B1F53"/>
    <w:rsid w:val="00AB10C0"/>
    <w:rsid w:val="00AC3931"/>
    <w:rsid w:val="00AE184C"/>
    <w:rsid w:val="00AF7340"/>
    <w:rsid w:val="00B27BF7"/>
    <w:rsid w:val="00B3343A"/>
    <w:rsid w:val="00B36D33"/>
    <w:rsid w:val="00B51197"/>
    <w:rsid w:val="00B51544"/>
    <w:rsid w:val="00B64BFE"/>
    <w:rsid w:val="00BA1AF5"/>
    <w:rsid w:val="00BA7F83"/>
    <w:rsid w:val="00BC094C"/>
    <w:rsid w:val="00BC3866"/>
    <w:rsid w:val="00BE147C"/>
    <w:rsid w:val="00BE73B2"/>
    <w:rsid w:val="00C4228E"/>
    <w:rsid w:val="00C70B17"/>
    <w:rsid w:val="00C8519A"/>
    <w:rsid w:val="00CB133C"/>
    <w:rsid w:val="00CB2118"/>
    <w:rsid w:val="00CB236F"/>
    <w:rsid w:val="00CB7E88"/>
    <w:rsid w:val="00D07B66"/>
    <w:rsid w:val="00D3305A"/>
    <w:rsid w:val="00D34C80"/>
    <w:rsid w:val="00D44B04"/>
    <w:rsid w:val="00D56588"/>
    <w:rsid w:val="00D977FA"/>
    <w:rsid w:val="00DA189B"/>
    <w:rsid w:val="00DA5CD6"/>
    <w:rsid w:val="00DE5D1B"/>
    <w:rsid w:val="00E2056D"/>
    <w:rsid w:val="00E44F49"/>
    <w:rsid w:val="00E750F5"/>
    <w:rsid w:val="00E952F6"/>
    <w:rsid w:val="00EA7162"/>
    <w:rsid w:val="00EC0963"/>
    <w:rsid w:val="00EC486B"/>
    <w:rsid w:val="00ED1798"/>
    <w:rsid w:val="00ED5FB2"/>
    <w:rsid w:val="00EE1E41"/>
    <w:rsid w:val="00EF0A78"/>
    <w:rsid w:val="00F139E0"/>
    <w:rsid w:val="00F42105"/>
    <w:rsid w:val="00F449CB"/>
    <w:rsid w:val="00F45524"/>
    <w:rsid w:val="00F50B4B"/>
    <w:rsid w:val="00F60345"/>
    <w:rsid w:val="00F75CE7"/>
    <w:rsid w:val="00FA6B4A"/>
    <w:rsid w:val="00FB1ED1"/>
    <w:rsid w:val="00FD0B0B"/>
    <w:rsid w:val="00FE430D"/>
    <w:rsid w:val="00FE4BE8"/>
    <w:rsid w:val="00FF6D39"/>
    <w:rsid w:val="139C57FE"/>
    <w:rsid w:val="7C4F6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DA5C"/>
  <w14:defaultImageDpi w14:val="32767"/>
  <w15:chartTrackingRefBased/>
  <w15:docId w15:val="{BEAD95AE-9A5D-1C4D-B703-BBD2FCB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3265"/>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3265"/>
    <w:pPr>
      <w:ind w:left="720"/>
      <w:contextualSpacing/>
    </w:pPr>
  </w:style>
  <w:style w:type="paragraph" w:styleId="Kopfzeile">
    <w:name w:val="header"/>
    <w:basedOn w:val="Standard"/>
    <w:link w:val="KopfzeileZchn"/>
    <w:uiPriority w:val="99"/>
    <w:unhideWhenUsed/>
    <w:rsid w:val="00603265"/>
    <w:pPr>
      <w:tabs>
        <w:tab w:val="center" w:pos="4536"/>
        <w:tab w:val="right" w:pos="9072"/>
      </w:tabs>
    </w:pPr>
  </w:style>
  <w:style w:type="character" w:customStyle="1" w:styleId="KopfzeileZchn">
    <w:name w:val="Kopfzeile Zchn"/>
    <w:basedOn w:val="Absatz-Standardschriftart"/>
    <w:link w:val="Kopfzeile"/>
    <w:uiPriority w:val="99"/>
    <w:qFormat/>
    <w:rsid w:val="00603265"/>
    <w:rPr>
      <w:rFonts w:eastAsiaTheme="minorEastAsia"/>
      <w:lang w:eastAsia="ja-JP"/>
    </w:rPr>
  </w:style>
  <w:style w:type="paragraph" w:styleId="Fuzeile">
    <w:name w:val="footer"/>
    <w:basedOn w:val="Standard"/>
    <w:link w:val="FuzeileZchn"/>
    <w:uiPriority w:val="99"/>
    <w:unhideWhenUsed/>
    <w:rsid w:val="00603265"/>
    <w:pPr>
      <w:tabs>
        <w:tab w:val="center" w:pos="4536"/>
        <w:tab w:val="right" w:pos="9072"/>
      </w:tabs>
    </w:pPr>
  </w:style>
  <w:style w:type="character" w:customStyle="1" w:styleId="FuzeileZchn">
    <w:name w:val="Fußzeile Zchn"/>
    <w:basedOn w:val="Absatz-Standardschriftart"/>
    <w:link w:val="Fuzeile"/>
    <w:uiPriority w:val="99"/>
    <w:rsid w:val="00603265"/>
    <w:rPr>
      <w:rFonts w:eastAsiaTheme="minorEastAsia"/>
      <w:lang w:eastAsia="ja-JP"/>
    </w:rPr>
  </w:style>
  <w:style w:type="character" w:styleId="Hyperlink">
    <w:name w:val="Hyperlink"/>
    <w:basedOn w:val="Absatz-Standardschriftart"/>
    <w:uiPriority w:val="99"/>
    <w:unhideWhenUsed/>
    <w:rsid w:val="005C765C"/>
    <w:rPr>
      <w:color w:val="0563C1" w:themeColor="hyperlink"/>
      <w:u w:val="single"/>
    </w:rPr>
  </w:style>
  <w:style w:type="character" w:styleId="NichtaufgelsteErwhnung">
    <w:name w:val="Unresolved Mention"/>
    <w:basedOn w:val="Absatz-Standardschriftart"/>
    <w:uiPriority w:val="99"/>
    <w:rsid w:val="005C765C"/>
    <w:rPr>
      <w:color w:val="605E5C"/>
      <w:shd w:val="clear" w:color="auto" w:fill="E1DFDD"/>
    </w:rPr>
  </w:style>
  <w:style w:type="character" w:styleId="Seitenzahl">
    <w:name w:val="page number"/>
    <w:basedOn w:val="Absatz-Standardschriftart"/>
    <w:uiPriority w:val="99"/>
    <w:semiHidden/>
    <w:unhideWhenUsed/>
    <w:rsid w:val="003A6AEB"/>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eastAsiaTheme="minorEastAsia"/>
      <w:sz w:val="20"/>
      <w:szCs w:val="20"/>
      <w:lang w:eastAsia="ja-JP"/>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A18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89B"/>
    <w:rPr>
      <w:rFonts w:ascii="Segoe UI" w:eastAsiaTheme="minorEastAsia" w:hAnsi="Segoe UI" w:cs="Segoe UI"/>
      <w:sz w:val="18"/>
      <w:szCs w:val="18"/>
      <w:lang w:eastAsia="ja-JP"/>
    </w:rPr>
  </w:style>
  <w:style w:type="table" w:styleId="Tabellenraster">
    <w:name w:val="Table Grid"/>
    <w:basedOn w:val="NormaleTabelle"/>
    <w:uiPriority w:val="39"/>
    <w:rsid w:val="00F6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C416D"/>
    <w:rPr>
      <w:color w:val="954F72" w:themeColor="followedHyperlink"/>
      <w:u w:val="single"/>
    </w:rPr>
  </w:style>
  <w:style w:type="paragraph" w:styleId="Funotentext">
    <w:name w:val="footnote text"/>
    <w:basedOn w:val="Standard"/>
    <w:link w:val="FunotentextZchn"/>
    <w:uiPriority w:val="99"/>
    <w:semiHidden/>
    <w:unhideWhenUsed/>
    <w:rsid w:val="00AC3931"/>
    <w:rPr>
      <w:sz w:val="20"/>
      <w:szCs w:val="20"/>
    </w:rPr>
  </w:style>
  <w:style w:type="character" w:customStyle="1" w:styleId="FunotentextZchn">
    <w:name w:val="Fußnotentext Zchn"/>
    <w:basedOn w:val="Absatz-Standardschriftart"/>
    <w:link w:val="Funotentext"/>
    <w:uiPriority w:val="99"/>
    <w:semiHidden/>
    <w:rsid w:val="00AC3931"/>
    <w:rPr>
      <w:rFonts w:eastAsiaTheme="minorEastAsia"/>
      <w:sz w:val="20"/>
      <w:szCs w:val="20"/>
      <w:lang w:eastAsia="ja-JP"/>
    </w:rPr>
  </w:style>
  <w:style w:type="character" w:styleId="Funotenzeichen">
    <w:name w:val="footnote reference"/>
    <w:basedOn w:val="Absatz-Standardschriftart"/>
    <w:uiPriority w:val="99"/>
    <w:semiHidden/>
    <w:unhideWhenUsed/>
    <w:rsid w:val="00AC3931"/>
    <w:rPr>
      <w:vertAlign w:val="superscript"/>
    </w:rPr>
  </w:style>
  <w:style w:type="character" w:styleId="Zeilennummer">
    <w:name w:val="line number"/>
    <w:basedOn w:val="Absatz-Standardschriftart"/>
    <w:uiPriority w:val="99"/>
    <w:semiHidden/>
    <w:unhideWhenUsed/>
    <w:rsid w:val="005F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hilosophie.unibe.ch/ueber_uns/aktuell/podcast/index_g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ilosophie.unibe.ch/ueber_uns/aktuell/podcast/index_g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ovcQgIN5G4" TargetMode="External"/><Relationship Id="rId5" Type="http://schemas.openxmlformats.org/officeDocument/2006/relationships/footnotes" Target="footnotes.xml"/><Relationship Id="rId15" Type="http://schemas.openxmlformats.org/officeDocument/2006/relationships/hyperlink" Target="https://www.philosophie.unibe.ch/ueber_uns/aktuell/podcast/index_ger.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3033</Words>
  <Characters>19112</Characters>
  <Application>Microsoft Office Word</Application>
  <DocSecurity>0</DocSecurity>
  <Lines>159</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54</cp:revision>
  <dcterms:created xsi:type="dcterms:W3CDTF">2020-09-10T07:31:00Z</dcterms:created>
  <dcterms:modified xsi:type="dcterms:W3CDTF">2020-11-06T08:55:00Z</dcterms:modified>
</cp:coreProperties>
</file>