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192A" w14:textId="5C63B68E" w:rsidR="004960EB" w:rsidRPr="008C6996" w:rsidRDefault="004960EB" w:rsidP="008C6996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color w:val="FF0000"/>
        </w:rPr>
      </w:pPr>
      <w:r w:rsidRPr="008C6996">
        <w:rPr>
          <w:rFonts w:ascii="Cambria" w:hAnsi="Cambria"/>
          <w:b/>
          <w:color w:val="000000" w:themeColor="text1"/>
        </w:rPr>
        <w:t xml:space="preserve">Unterrichtsbaustein 2 </w:t>
      </w:r>
      <w:r w:rsidR="009B7E5C" w:rsidRPr="008C6996">
        <w:rPr>
          <w:rFonts w:ascii="Cambria" w:hAnsi="Cambria"/>
          <w:b/>
          <w:color w:val="000000" w:themeColor="text1"/>
        </w:rPr>
        <w:t>‚</w:t>
      </w:r>
      <w:r w:rsidR="003A6720">
        <w:rPr>
          <w:rFonts w:ascii="Cambria" w:hAnsi="Cambria"/>
          <w:b/>
          <w:color w:val="000000" w:themeColor="text1"/>
        </w:rPr>
        <w:t>Wann ist Einwilligung freiwillig?</w:t>
      </w:r>
      <w:r w:rsidR="008C6996" w:rsidRPr="008C6996">
        <w:rPr>
          <w:rFonts w:ascii="Cambria" w:hAnsi="Cambria"/>
          <w:b/>
          <w:color w:val="000000" w:themeColor="text1"/>
        </w:rPr>
        <w:t>‘</w:t>
      </w:r>
    </w:p>
    <w:p w14:paraId="6659573E" w14:textId="77777777" w:rsidR="004960EB" w:rsidRPr="008C6996" w:rsidRDefault="004960EB" w:rsidP="008C699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C74D073" w14:textId="77777777" w:rsidR="004960EB" w:rsidRPr="008C6996" w:rsidRDefault="004960EB" w:rsidP="008C6996">
      <w:pPr>
        <w:spacing w:line="276" w:lineRule="auto"/>
        <w:jc w:val="both"/>
        <w:rPr>
          <w:rFonts w:ascii="Cambria" w:hAnsi="Cambria"/>
          <w:b/>
          <w:i/>
          <w:color w:val="000000" w:themeColor="text1"/>
        </w:rPr>
      </w:pPr>
      <w:r w:rsidRPr="008C6996">
        <w:rPr>
          <w:rFonts w:ascii="Cambria" w:hAnsi="Cambria"/>
          <w:b/>
          <w:i/>
          <w:color w:val="000000" w:themeColor="text1"/>
        </w:rPr>
        <w:t xml:space="preserve">Materialien zum Baustein </w:t>
      </w:r>
    </w:p>
    <w:p w14:paraId="786D86F8" w14:textId="77777777" w:rsidR="004960EB" w:rsidRPr="008C6996" w:rsidRDefault="004960EB" w:rsidP="008C6996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1CDFC4F8" w14:textId="64666159" w:rsidR="008C6996" w:rsidRPr="00030E74" w:rsidRDefault="004960EB" w:rsidP="003347DB">
      <w:pPr>
        <w:pStyle w:val="Listenabsatz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030E74">
        <w:rPr>
          <w:rFonts w:ascii="Cambria" w:hAnsi="Cambria"/>
          <w:color w:val="000000" w:themeColor="text1"/>
        </w:rPr>
        <w:t>M1</w:t>
      </w:r>
      <w:r w:rsidR="008C6996" w:rsidRPr="00030E74">
        <w:rPr>
          <w:rFonts w:ascii="Cambria" w:hAnsi="Cambria"/>
          <w:color w:val="000000" w:themeColor="text1"/>
        </w:rPr>
        <w:t xml:space="preserve"> </w:t>
      </w:r>
      <w:r w:rsidR="00595106" w:rsidRPr="00030E74">
        <w:rPr>
          <w:rFonts w:ascii="Cambria" w:hAnsi="Cambria"/>
          <w:color w:val="000000" w:themeColor="text1"/>
        </w:rPr>
        <w:t xml:space="preserve">Wann ist Einwilligung erzwungen? </w:t>
      </w:r>
    </w:p>
    <w:p w14:paraId="4F940EB9" w14:textId="77777777" w:rsidR="008C6996" w:rsidRDefault="008C6996" w:rsidP="008C6996">
      <w:pPr>
        <w:pStyle w:val="Listenabsatz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</w:p>
    <w:p w14:paraId="76A129D5" w14:textId="77777777" w:rsidR="004960EB" w:rsidRPr="008C6996" w:rsidRDefault="004960EB" w:rsidP="008C6996">
      <w:pPr>
        <w:spacing w:line="276" w:lineRule="auto"/>
        <w:jc w:val="both"/>
        <w:rPr>
          <w:rFonts w:ascii="Cambria" w:hAnsi="Cambria"/>
        </w:rPr>
        <w:sectPr w:rsidR="004960EB" w:rsidRPr="008C6996" w:rsidSect="004B4725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FCED8AD" w14:textId="38326DBD" w:rsidR="00276065" w:rsidRPr="00F73962" w:rsidRDefault="008C6996" w:rsidP="008C6996">
      <w:pPr>
        <w:spacing w:line="276" w:lineRule="auto"/>
        <w:jc w:val="both"/>
        <w:rPr>
          <w:rFonts w:ascii="Cambria" w:hAnsi="Cambria"/>
          <w:b/>
        </w:rPr>
      </w:pPr>
      <w:r w:rsidRPr="00F73962">
        <w:rPr>
          <w:rFonts w:ascii="Cambria" w:hAnsi="Cambria"/>
          <w:b/>
        </w:rPr>
        <w:lastRenderedPageBreak/>
        <w:t xml:space="preserve">M1 </w:t>
      </w:r>
      <w:r w:rsidR="00595106">
        <w:rPr>
          <w:rFonts w:ascii="Cambria" w:hAnsi="Cambria"/>
          <w:b/>
        </w:rPr>
        <w:t>Wann ist Einwilligung erzwungen?</w:t>
      </w:r>
    </w:p>
    <w:p w14:paraId="5D5B27E8" w14:textId="77777777" w:rsidR="008C6996" w:rsidRDefault="008C6996" w:rsidP="008C6996">
      <w:pPr>
        <w:spacing w:line="276" w:lineRule="auto"/>
        <w:jc w:val="both"/>
        <w:rPr>
          <w:rFonts w:ascii="Cambria" w:hAnsi="Cambria"/>
        </w:rPr>
      </w:pPr>
    </w:p>
    <w:p w14:paraId="32A77C4D" w14:textId="6BA4EF5F" w:rsidR="00030E74" w:rsidRDefault="00F73962" w:rsidP="007A100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Damit eine Einwilligung als gültig angesehen werden kann, </w:t>
      </w:r>
      <w:r w:rsidR="00C563CE">
        <w:rPr>
          <w:rFonts w:ascii="Cambria" w:hAnsi="Cambria"/>
        </w:rPr>
        <w:t>müssen</w:t>
      </w:r>
      <w:r>
        <w:rPr>
          <w:rFonts w:ascii="Cambria" w:hAnsi="Cambria"/>
        </w:rPr>
        <w:t xml:space="preserve"> üblicherweise drei Bedingungen </w:t>
      </w:r>
      <w:r w:rsidR="00C563CE">
        <w:rPr>
          <w:rFonts w:ascii="Cambria" w:hAnsi="Cambria"/>
        </w:rPr>
        <w:t>erfüllt sein</w:t>
      </w:r>
      <w:r>
        <w:rPr>
          <w:rFonts w:ascii="Cambria" w:hAnsi="Cambria"/>
        </w:rPr>
        <w:t>:</w:t>
      </w:r>
      <w:r w:rsidR="00030E74">
        <w:rPr>
          <w:rFonts w:ascii="Cambria" w:hAnsi="Cambria"/>
        </w:rPr>
        <w:t xml:space="preserve"> 1. </w:t>
      </w:r>
      <w:r>
        <w:rPr>
          <w:rFonts w:ascii="Cambria" w:hAnsi="Cambria"/>
        </w:rPr>
        <w:t>Informiertheit</w:t>
      </w:r>
      <w:r w:rsidR="00030E74">
        <w:rPr>
          <w:rFonts w:ascii="Cambria" w:hAnsi="Cambria"/>
        </w:rPr>
        <w:t xml:space="preserve">, 2. </w:t>
      </w:r>
      <w:r>
        <w:rPr>
          <w:rFonts w:ascii="Cambria" w:hAnsi="Cambria"/>
        </w:rPr>
        <w:t xml:space="preserve">Kompetenz </w:t>
      </w:r>
      <w:r w:rsidR="00030E74">
        <w:rPr>
          <w:rFonts w:ascii="Cambria" w:hAnsi="Cambria"/>
        </w:rPr>
        <w:t xml:space="preserve">und 3. Freiwilligkeit. Im Folgenden geht es um </w:t>
      </w:r>
      <w:r w:rsidR="007A100E">
        <w:rPr>
          <w:rFonts w:ascii="Cambria" w:hAnsi="Cambria"/>
        </w:rPr>
        <w:t xml:space="preserve">die dritte </w:t>
      </w:r>
      <w:r w:rsidR="00030E74">
        <w:rPr>
          <w:rFonts w:ascii="Cambria" w:hAnsi="Cambria"/>
        </w:rPr>
        <w:t xml:space="preserve">Bedingung. Freiwilligkeit und damit die Abwesenheit von Zwang </w:t>
      </w:r>
      <w:r w:rsidR="0013225C">
        <w:rPr>
          <w:rFonts w:ascii="Cambria" w:hAnsi="Cambria"/>
        </w:rPr>
        <w:t>gilt</w:t>
      </w:r>
      <w:r w:rsidR="007A100E">
        <w:rPr>
          <w:rFonts w:ascii="Cambria" w:hAnsi="Cambria"/>
        </w:rPr>
        <w:t xml:space="preserve"> also als </w:t>
      </w:r>
      <w:r w:rsidR="00030E74">
        <w:rPr>
          <w:rFonts w:ascii="Cambria" w:hAnsi="Cambria"/>
        </w:rPr>
        <w:t xml:space="preserve">notwendig für eine gültige Einwilligung. Doch ab wann liegt eigentlich Zwang vor? </w:t>
      </w:r>
    </w:p>
    <w:p w14:paraId="517D1EC6" w14:textId="50FE06BE" w:rsidR="009A5ECB" w:rsidRDefault="009A5ECB" w:rsidP="008C6996">
      <w:pPr>
        <w:spacing w:line="276" w:lineRule="auto"/>
        <w:jc w:val="both"/>
        <w:rPr>
          <w:rFonts w:ascii="Cambria" w:hAnsi="Cambria"/>
        </w:rPr>
      </w:pPr>
    </w:p>
    <w:p w14:paraId="48127775" w14:textId="77777777" w:rsidR="009A5ECB" w:rsidRPr="009A5ECB" w:rsidRDefault="009A5ECB" w:rsidP="008C6996">
      <w:pPr>
        <w:spacing w:line="276" w:lineRule="auto"/>
        <w:jc w:val="both"/>
        <w:rPr>
          <w:rFonts w:ascii="Cambria" w:hAnsi="Cambria"/>
          <w:b/>
        </w:rPr>
      </w:pPr>
      <w:r w:rsidRPr="009A5ECB">
        <w:rPr>
          <w:rFonts w:ascii="Cambria" w:hAnsi="Cambria"/>
          <w:b/>
        </w:rPr>
        <w:t xml:space="preserve">Aufgaben </w:t>
      </w:r>
    </w:p>
    <w:p w14:paraId="156D9C1C" w14:textId="77777777" w:rsidR="00163E16" w:rsidRPr="00163E16" w:rsidRDefault="00163E16" w:rsidP="00163E16">
      <w:pPr>
        <w:spacing w:line="276" w:lineRule="auto"/>
        <w:jc w:val="both"/>
        <w:rPr>
          <w:rFonts w:ascii="Cambria" w:hAnsi="Cambria"/>
        </w:rPr>
      </w:pPr>
    </w:p>
    <w:p w14:paraId="79BF227D" w14:textId="1D2D0693" w:rsidR="008B55DE" w:rsidRDefault="00163E16" w:rsidP="00682B38">
      <w:pPr>
        <w:pStyle w:val="Listenabsatz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Unten findest du sechs Beispielfälle</w:t>
      </w:r>
      <w:r w:rsidR="005C1402">
        <w:rPr>
          <w:rFonts w:ascii="Cambria" w:hAnsi="Cambria"/>
        </w:rPr>
        <w:t xml:space="preserve">, in denen jeweils eine Person eine andere Person dazu auffordert, Sex mit ihr zu haben. </w:t>
      </w:r>
      <w:r w:rsidR="008B55DE">
        <w:rPr>
          <w:rFonts w:ascii="Cambria" w:hAnsi="Cambria"/>
        </w:rPr>
        <w:t>Lies dir die Beispiele</w:t>
      </w:r>
      <w:r w:rsidR="00623A87">
        <w:rPr>
          <w:rFonts w:ascii="Cambria" w:hAnsi="Cambria"/>
        </w:rPr>
        <w:t xml:space="preserve"> </w:t>
      </w:r>
      <w:r w:rsidR="008B55DE">
        <w:rPr>
          <w:rFonts w:ascii="Cambria" w:hAnsi="Cambria"/>
        </w:rPr>
        <w:t>durch</w:t>
      </w:r>
      <w:r>
        <w:rPr>
          <w:rFonts w:ascii="Cambria" w:hAnsi="Cambria"/>
        </w:rPr>
        <w:t>, überlege</w:t>
      </w:r>
      <w:r w:rsidR="008B55DE">
        <w:rPr>
          <w:rFonts w:ascii="Cambria" w:hAnsi="Cambria"/>
        </w:rPr>
        <w:t xml:space="preserve"> und </w:t>
      </w:r>
      <w:r>
        <w:rPr>
          <w:rFonts w:ascii="Cambria" w:hAnsi="Cambria"/>
        </w:rPr>
        <w:t>kreuze an</w:t>
      </w:r>
      <w:r w:rsidR="008B55DE">
        <w:rPr>
          <w:rFonts w:ascii="Cambria" w:hAnsi="Cambria"/>
        </w:rPr>
        <w:t xml:space="preserve">, in welchen der Fälle Zwang vorliegt. Also: In welchen Fällen kann </w:t>
      </w:r>
      <w:r>
        <w:rPr>
          <w:rFonts w:ascii="Cambria" w:hAnsi="Cambria"/>
        </w:rPr>
        <w:t>die Person</w:t>
      </w:r>
      <w:r w:rsidR="008B55DE">
        <w:rPr>
          <w:rFonts w:ascii="Cambria" w:hAnsi="Cambria"/>
        </w:rPr>
        <w:t xml:space="preserve"> dem Sex freiwillig zustimmen oder ihn ablehnen, in welchen Fällen wird </w:t>
      </w:r>
      <w:r>
        <w:rPr>
          <w:rFonts w:ascii="Cambria" w:hAnsi="Cambria"/>
        </w:rPr>
        <w:t>sie</w:t>
      </w:r>
      <w:r w:rsidR="008B55DE">
        <w:rPr>
          <w:rFonts w:ascii="Cambria" w:hAnsi="Cambria"/>
        </w:rPr>
        <w:t xml:space="preserve"> zum Sex gezwungen? </w:t>
      </w:r>
    </w:p>
    <w:p w14:paraId="349B1E15" w14:textId="2C21058B" w:rsidR="00406610" w:rsidRDefault="008B55DE" w:rsidP="00682B38">
      <w:pPr>
        <w:pStyle w:val="Listenabsatz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Vergleicht </w:t>
      </w:r>
      <w:r w:rsidR="00163E16">
        <w:rPr>
          <w:rFonts w:ascii="Cambria" w:hAnsi="Cambria"/>
        </w:rPr>
        <w:t xml:space="preserve">in Partnerarbeit </w:t>
      </w:r>
      <w:r>
        <w:rPr>
          <w:rFonts w:ascii="Cambria" w:hAnsi="Cambria"/>
        </w:rPr>
        <w:t xml:space="preserve">eure Einschätzungen zu den Beispielfällen. </w:t>
      </w:r>
      <w:r w:rsidR="00163E16">
        <w:rPr>
          <w:rFonts w:ascii="Cambria" w:hAnsi="Cambria"/>
        </w:rPr>
        <w:t>Versucht euch auf eine Einschätzung zu einigen.</w:t>
      </w:r>
      <w:r>
        <w:rPr>
          <w:rFonts w:ascii="Cambria" w:hAnsi="Cambria"/>
        </w:rPr>
        <w:t xml:space="preserve"> </w:t>
      </w:r>
      <w:r w:rsidR="00163E16">
        <w:rPr>
          <w:rFonts w:ascii="Cambria" w:hAnsi="Cambria"/>
        </w:rPr>
        <w:t xml:space="preserve">Notiert knappe Begründungen für eure </w:t>
      </w:r>
      <w:r w:rsidR="00E1036D">
        <w:rPr>
          <w:rFonts w:ascii="Cambria" w:hAnsi="Cambria"/>
        </w:rPr>
        <w:t>Beurteilungen der Beispielfälle</w:t>
      </w:r>
      <w:r w:rsidR="00163E16">
        <w:rPr>
          <w:rFonts w:ascii="Cambria" w:hAnsi="Cambria"/>
        </w:rPr>
        <w:t>.</w:t>
      </w:r>
    </w:p>
    <w:p w14:paraId="6E547724" w14:textId="6E6770FB" w:rsidR="00163E16" w:rsidRPr="00321EBE" w:rsidRDefault="000E2785" w:rsidP="00682B38">
      <w:pPr>
        <w:pStyle w:val="Listenabsatz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Was könnte den Unterschied erklären zwischen den Fällen, die wir als Zwang beurteilen und denen, die Raum für freiwillige Einwilligung lassen? </w:t>
      </w:r>
      <w:r w:rsidR="003022D5">
        <w:rPr>
          <w:rFonts w:ascii="Cambria" w:hAnsi="Cambria"/>
        </w:rPr>
        <w:t xml:space="preserve">Formuliert aufgrund eurer Überlegungen eine Definition </w:t>
      </w:r>
      <w:r w:rsidR="00C563CE">
        <w:rPr>
          <w:rFonts w:ascii="Cambria" w:hAnsi="Cambria"/>
        </w:rPr>
        <w:t>von</w:t>
      </w:r>
      <w:r w:rsidR="003022D5">
        <w:rPr>
          <w:rFonts w:ascii="Cambria" w:hAnsi="Cambria"/>
        </w:rPr>
        <w:t xml:space="preserve"> Zwang</w:t>
      </w:r>
      <w:r w:rsidR="00C563CE">
        <w:rPr>
          <w:rFonts w:ascii="Cambria" w:hAnsi="Cambria"/>
        </w:rPr>
        <w:t xml:space="preserve"> und verwendet das folgende Schema:</w:t>
      </w:r>
      <w:r w:rsidR="003022D5">
        <w:rPr>
          <w:rFonts w:ascii="Cambria" w:hAnsi="Cambria"/>
        </w:rPr>
        <w:t xml:space="preserve"> </w:t>
      </w:r>
      <w:r w:rsidR="003022D5" w:rsidRPr="00321EBE">
        <w:rPr>
          <w:rFonts w:ascii="Cambria" w:hAnsi="Cambria"/>
          <w:i/>
        </w:rPr>
        <w:t xml:space="preserve">A </w:t>
      </w:r>
      <w:r w:rsidR="00EB246D" w:rsidRPr="00321EBE">
        <w:rPr>
          <w:rFonts w:ascii="Cambria" w:hAnsi="Cambria"/>
          <w:i/>
        </w:rPr>
        <w:t>er</w:t>
      </w:r>
      <w:r w:rsidR="003022D5" w:rsidRPr="00321EBE">
        <w:rPr>
          <w:rFonts w:ascii="Cambria" w:hAnsi="Cambria"/>
          <w:i/>
        </w:rPr>
        <w:t xml:space="preserve">zwingt </w:t>
      </w:r>
      <w:proofErr w:type="spellStart"/>
      <w:r w:rsidR="003022D5" w:rsidRPr="00321EBE">
        <w:rPr>
          <w:rFonts w:ascii="Cambria" w:hAnsi="Cambria"/>
          <w:i/>
        </w:rPr>
        <w:t>Bs</w:t>
      </w:r>
      <w:proofErr w:type="spellEnd"/>
      <w:r w:rsidR="003022D5" w:rsidRPr="00321EBE">
        <w:rPr>
          <w:rFonts w:ascii="Cambria" w:hAnsi="Cambria"/>
          <w:i/>
        </w:rPr>
        <w:t xml:space="preserve"> Einwilligung dann, wenn … </w:t>
      </w:r>
    </w:p>
    <w:p w14:paraId="55352D70" w14:textId="016DD456" w:rsidR="003022D5" w:rsidRDefault="00623A87" w:rsidP="00682B38">
      <w:pPr>
        <w:pStyle w:val="Listenabsatz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3022D5">
        <w:rPr>
          <w:rFonts w:ascii="Cambria" w:hAnsi="Cambria"/>
        </w:rPr>
        <w:t>Alan Wertheimer formuliert einen Vorschlag dazu, wann man davon sprechen kann, dass Person A Person B zu etwas zwingt (</w:t>
      </w:r>
      <w:r w:rsidR="00C563CE">
        <w:rPr>
          <w:rFonts w:ascii="Cambria" w:hAnsi="Cambria"/>
        </w:rPr>
        <w:t>vgl.</w:t>
      </w:r>
      <w:r w:rsidR="003022D5">
        <w:rPr>
          <w:rFonts w:ascii="Cambria" w:hAnsi="Cambria"/>
        </w:rPr>
        <w:t xml:space="preserve"> den</w:t>
      </w:r>
      <w:r w:rsidRPr="003022D5">
        <w:rPr>
          <w:rFonts w:ascii="Cambria" w:hAnsi="Cambria"/>
        </w:rPr>
        <w:t xml:space="preserve"> Auszug</w:t>
      </w:r>
      <w:r w:rsidR="003022D5" w:rsidRPr="003022D5">
        <w:rPr>
          <w:rFonts w:ascii="Cambria" w:hAnsi="Cambria"/>
        </w:rPr>
        <w:t xml:space="preserve"> unten</w:t>
      </w:r>
      <w:r w:rsidRPr="003022D5">
        <w:rPr>
          <w:rFonts w:ascii="Cambria" w:hAnsi="Cambria"/>
        </w:rPr>
        <w:t xml:space="preserve">). </w:t>
      </w:r>
      <w:r w:rsidR="003022D5">
        <w:rPr>
          <w:rFonts w:ascii="Cambria" w:hAnsi="Cambria"/>
        </w:rPr>
        <w:t xml:space="preserve">Erläutert, welche Rolle Rechte </w:t>
      </w:r>
      <w:r w:rsidR="00C563CE">
        <w:rPr>
          <w:rFonts w:ascii="Cambria" w:hAnsi="Cambria"/>
        </w:rPr>
        <w:t xml:space="preserve">bzw. Ansprüche </w:t>
      </w:r>
      <w:r w:rsidR="003022D5">
        <w:rPr>
          <w:rFonts w:ascii="Cambria" w:hAnsi="Cambria"/>
        </w:rPr>
        <w:t>bei der Bestimmung von Zwang bei Wertheimer spielen.</w:t>
      </w:r>
    </w:p>
    <w:p w14:paraId="00C52BCB" w14:textId="5630BFCB" w:rsidR="00595106" w:rsidRDefault="003022D5" w:rsidP="00682B38">
      <w:pPr>
        <w:pStyle w:val="Listenabsatz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Wendet Wertheimers Definition auf die Beispielfälle an. Stimmt das Ergebnis </w:t>
      </w:r>
      <w:r w:rsidR="00C563CE">
        <w:rPr>
          <w:rFonts w:ascii="Cambria" w:hAnsi="Cambria"/>
        </w:rPr>
        <w:t xml:space="preserve">nach Wertheimer </w:t>
      </w:r>
      <w:r>
        <w:rPr>
          <w:rFonts w:ascii="Cambria" w:hAnsi="Cambria"/>
        </w:rPr>
        <w:t>mit eurer Einschätzung der Fälle überein? Wenn nicht, überlegt, woran das lieg</w:t>
      </w:r>
      <w:r w:rsidR="00C563CE">
        <w:rPr>
          <w:rFonts w:ascii="Cambria" w:hAnsi="Cambria"/>
        </w:rPr>
        <w:t>en könnte</w:t>
      </w:r>
      <w:r w:rsidR="0052282C">
        <w:rPr>
          <w:rFonts w:ascii="Cambria" w:hAnsi="Cambria"/>
        </w:rPr>
        <w:t>. Unterscheidet sich z.B. eure Definition von Zwang von der Definition Wertheimers (vgl. Aufgabe 3)?</w:t>
      </w:r>
      <w:r w:rsidR="00EB246D">
        <w:rPr>
          <w:rFonts w:ascii="Cambria" w:hAnsi="Cambria"/>
        </w:rPr>
        <w:t xml:space="preserve"> </w:t>
      </w:r>
    </w:p>
    <w:p w14:paraId="272DB695" w14:textId="77777777" w:rsidR="008C6996" w:rsidRDefault="008C6996" w:rsidP="008C6996">
      <w:pPr>
        <w:spacing w:line="276" w:lineRule="auto"/>
        <w:jc w:val="both"/>
        <w:rPr>
          <w:rFonts w:ascii="Cambria" w:hAnsi="Cambria"/>
        </w:rPr>
      </w:pPr>
    </w:p>
    <w:p w14:paraId="44BCDB04" w14:textId="42DC9F1E" w:rsidR="00D05E86" w:rsidRDefault="00163E16" w:rsidP="008C6996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Zwang oder kein Zwang? </w:t>
      </w:r>
    </w:p>
    <w:p w14:paraId="24D12BD9" w14:textId="77777777" w:rsidR="00163E16" w:rsidRDefault="00163E16" w:rsidP="008C6996">
      <w:pPr>
        <w:spacing w:line="276" w:lineRule="auto"/>
        <w:jc w:val="both"/>
        <w:rPr>
          <w:rFonts w:ascii="Cambria" w:hAnsi="Cambri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3816"/>
      </w:tblGrid>
      <w:tr w:rsidR="00D05E86" w:rsidRPr="00BA13F6" w14:paraId="21C2ED15" w14:textId="77777777" w:rsidTr="61595242">
        <w:tc>
          <w:tcPr>
            <w:tcW w:w="3539" w:type="dxa"/>
            <w:shd w:val="clear" w:color="auto" w:fill="D9D9D9" w:themeFill="background1" w:themeFillShade="D9"/>
          </w:tcPr>
          <w:p w14:paraId="56E0C92B" w14:textId="7E1DE0EC" w:rsidR="00D05E86" w:rsidRPr="00BA13F6" w:rsidRDefault="00D05E86" w:rsidP="00A81BA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13F6">
              <w:rPr>
                <w:rFonts w:ascii="Cambria" w:hAnsi="Cambria"/>
                <w:b/>
                <w:bCs/>
                <w:sz w:val="20"/>
                <w:szCs w:val="20"/>
              </w:rPr>
              <w:t>Beispiel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925BEE" w14:textId="1E33266D" w:rsidR="00D05E86" w:rsidRPr="00BA13F6" w:rsidRDefault="00D05E86" w:rsidP="00A81BA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13F6">
              <w:rPr>
                <w:rFonts w:ascii="Cambria" w:hAnsi="Cambria"/>
                <w:b/>
                <w:bCs/>
                <w:sz w:val="20"/>
                <w:szCs w:val="20"/>
              </w:rPr>
              <w:t>Zwang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DD5CC0" w14:textId="39F7C9AE" w:rsidR="00D05E86" w:rsidRPr="00BA13F6" w:rsidRDefault="00D05E86" w:rsidP="00A81BA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13F6">
              <w:rPr>
                <w:rFonts w:ascii="Cambria" w:hAnsi="Cambria"/>
                <w:b/>
                <w:bCs/>
                <w:sz w:val="20"/>
                <w:szCs w:val="20"/>
              </w:rPr>
              <w:t>Kein Zwang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14:paraId="543C20CB" w14:textId="71BB034C" w:rsidR="00D05E86" w:rsidRPr="00BA13F6" w:rsidRDefault="00D05E86" w:rsidP="00A81BA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A13F6">
              <w:rPr>
                <w:rFonts w:ascii="Cambria" w:hAnsi="Cambria"/>
                <w:b/>
                <w:bCs/>
                <w:sz w:val="20"/>
                <w:szCs w:val="20"/>
              </w:rPr>
              <w:t>Begründung</w:t>
            </w:r>
          </w:p>
        </w:tc>
      </w:tr>
      <w:tr w:rsidR="00D05E86" w:rsidRPr="00BA13F6" w14:paraId="294ACB85" w14:textId="77777777" w:rsidTr="61595242">
        <w:tc>
          <w:tcPr>
            <w:tcW w:w="3539" w:type="dxa"/>
          </w:tcPr>
          <w:p w14:paraId="4E0DF03B" w14:textId="24411B32" w:rsidR="00D05E86" w:rsidRPr="00BA13F6" w:rsidRDefault="00575B30" w:rsidP="004E162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08" w:right="-6" w:hanging="308"/>
              <w:rPr>
                <w:rFonts w:ascii="Cambria" w:hAnsi="Cambria"/>
                <w:sz w:val="20"/>
                <w:szCs w:val="20"/>
              </w:rPr>
            </w:pPr>
            <w:r w:rsidRPr="00BA13F6">
              <w:rPr>
                <w:rFonts w:ascii="Cambria" w:hAnsi="Cambria"/>
                <w:sz w:val="20"/>
                <w:szCs w:val="20"/>
              </w:rPr>
              <w:t>„</w:t>
            </w:r>
            <w:r w:rsidR="00D05E86" w:rsidRPr="00BA13F6">
              <w:rPr>
                <w:rFonts w:ascii="Cambria" w:hAnsi="Cambria"/>
                <w:sz w:val="20"/>
                <w:szCs w:val="20"/>
              </w:rPr>
              <w:t xml:space="preserve">Schlaf mit mir oder ich gebe dir deine Autoschlüssel nicht wieder und lasse dich in dieser gefährlichen Gegend zurück.” </w:t>
            </w:r>
          </w:p>
        </w:tc>
        <w:tc>
          <w:tcPr>
            <w:tcW w:w="851" w:type="dxa"/>
          </w:tcPr>
          <w:p w14:paraId="07C5EAB8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A3BCE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16" w:type="dxa"/>
          </w:tcPr>
          <w:p w14:paraId="3F65390F" w14:textId="4CF68E5C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05E86" w:rsidRPr="00BA13F6" w14:paraId="109F9BFA" w14:textId="77777777" w:rsidTr="61595242">
        <w:tc>
          <w:tcPr>
            <w:tcW w:w="3539" w:type="dxa"/>
          </w:tcPr>
          <w:p w14:paraId="1AFF238E" w14:textId="77777777" w:rsidR="00D05E86" w:rsidRPr="00BA13F6" w:rsidRDefault="00575B30" w:rsidP="004E162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08" w:right="-6" w:hanging="308"/>
              <w:rPr>
                <w:rFonts w:ascii="Cambria" w:hAnsi="Cambria"/>
                <w:bCs/>
                <w:sz w:val="20"/>
                <w:szCs w:val="20"/>
              </w:rPr>
            </w:pPr>
            <w:r w:rsidRPr="00BA13F6">
              <w:rPr>
                <w:rFonts w:ascii="Cambria" w:hAnsi="Cambria"/>
                <w:sz w:val="20"/>
                <w:szCs w:val="20"/>
              </w:rPr>
              <w:t>„</w:t>
            </w:r>
            <w:r w:rsidR="00D05E86" w:rsidRPr="00BA13F6">
              <w:rPr>
                <w:rFonts w:ascii="Cambria" w:hAnsi="Cambria"/>
                <w:sz w:val="20"/>
                <w:szCs w:val="20"/>
              </w:rPr>
              <w:t xml:space="preserve">Schlaf mit mir oder ich mache mit dir Schluss.” </w:t>
            </w:r>
          </w:p>
          <w:p w14:paraId="496D2220" w14:textId="77777777" w:rsidR="008315B6" w:rsidRPr="00BA13F6" w:rsidRDefault="008315B6" w:rsidP="008315B6">
            <w:pPr>
              <w:pStyle w:val="Listenabsatz"/>
              <w:spacing w:line="276" w:lineRule="auto"/>
              <w:ind w:left="308" w:right="-6"/>
              <w:rPr>
                <w:rFonts w:ascii="Cambria" w:hAnsi="Cambria"/>
                <w:bCs/>
                <w:sz w:val="20"/>
                <w:szCs w:val="20"/>
              </w:rPr>
            </w:pPr>
          </w:p>
          <w:p w14:paraId="356E6357" w14:textId="362520EE" w:rsidR="008315B6" w:rsidRPr="00BA13F6" w:rsidRDefault="008315B6" w:rsidP="008315B6">
            <w:pPr>
              <w:pStyle w:val="Listenabsatz"/>
              <w:spacing w:line="276" w:lineRule="auto"/>
              <w:ind w:left="308" w:right="-6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6E5D905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AC37B8C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16" w:type="dxa"/>
          </w:tcPr>
          <w:p w14:paraId="58675E75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05E86" w:rsidRPr="00BA13F6" w14:paraId="05AC07B5" w14:textId="77777777" w:rsidTr="61595242">
        <w:tc>
          <w:tcPr>
            <w:tcW w:w="3539" w:type="dxa"/>
          </w:tcPr>
          <w:p w14:paraId="28CBE781" w14:textId="77777777" w:rsidR="00D05E86" w:rsidRPr="00BA13F6" w:rsidRDefault="00D05E86" w:rsidP="004E162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08" w:right="-6" w:hanging="308"/>
              <w:rPr>
                <w:rFonts w:ascii="Cambria" w:hAnsi="Cambria"/>
                <w:bCs/>
                <w:sz w:val="20"/>
                <w:szCs w:val="20"/>
              </w:rPr>
            </w:pPr>
            <w:r w:rsidRPr="00BA13F6">
              <w:rPr>
                <w:rFonts w:ascii="Cambria" w:hAnsi="Cambria"/>
                <w:sz w:val="20"/>
                <w:szCs w:val="20"/>
              </w:rPr>
              <w:t xml:space="preserve">Ein Professor sagt: </w:t>
            </w:r>
            <w:r w:rsidR="00575B30" w:rsidRPr="00BA13F6">
              <w:rPr>
                <w:rFonts w:ascii="Cambria" w:hAnsi="Cambria"/>
                <w:sz w:val="20"/>
                <w:szCs w:val="20"/>
              </w:rPr>
              <w:t>„</w:t>
            </w:r>
            <w:r w:rsidRPr="00BA13F6">
              <w:rPr>
                <w:rFonts w:ascii="Cambria" w:hAnsi="Cambria"/>
                <w:sz w:val="20"/>
                <w:szCs w:val="20"/>
              </w:rPr>
              <w:t xml:space="preserve">Schlaf mit mir oder ich gebe dir eine schlechtere Note, als du verdienst.” </w:t>
            </w:r>
          </w:p>
          <w:p w14:paraId="562F87C2" w14:textId="7AC31364" w:rsidR="008315B6" w:rsidRPr="00BA13F6" w:rsidRDefault="008315B6" w:rsidP="008315B6">
            <w:pPr>
              <w:pStyle w:val="Listenabsatz"/>
              <w:spacing w:line="276" w:lineRule="auto"/>
              <w:ind w:left="308" w:right="-6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7F151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1BA72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16" w:type="dxa"/>
          </w:tcPr>
          <w:p w14:paraId="220A715F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05E86" w:rsidRPr="00BA13F6" w14:paraId="07117B8C" w14:textId="77777777" w:rsidTr="61595242">
        <w:tc>
          <w:tcPr>
            <w:tcW w:w="3539" w:type="dxa"/>
          </w:tcPr>
          <w:p w14:paraId="03CF8802" w14:textId="77777777" w:rsidR="00D05E86" w:rsidRPr="00BA13F6" w:rsidRDefault="00D05E86" w:rsidP="004E162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08" w:right="-6" w:hanging="308"/>
              <w:rPr>
                <w:rFonts w:ascii="Cambria" w:hAnsi="Cambria"/>
                <w:sz w:val="20"/>
                <w:szCs w:val="20"/>
              </w:rPr>
            </w:pPr>
            <w:r w:rsidRPr="00BA13F6">
              <w:rPr>
                <w:rFonts w:ascii="Cambria" w:hAnsi="Cambria"/>
                <w:sz w:val="20"/>
                <w:szCs w:val="20"/>
              </w:rPr>
              <w:lastRenderedPageBreak/>
              <w:t xml:space="preserve">Ein Professor sagt: </w:t>
            </w:r>
            <w:r w:rsidR="00575B30" w:rsidRPr="00BA13F6">
              <w:rPr>
                <w:rFonts w:ascii="Cambria" w:hAnsi="Cambria"/>
                <w:sz w:val="20"/>
                <w:szCs w:val="20"/>
              </w:rPr>
              <w:t>„</w:t>
            </w:r>
            <w:r w:rsidRPr="00BA13F6">
              <w:rPr>
                <w:rFonts w:ascii="Cambria" w:hAnsi="Cambria"/>
                <w:sz w:val="20"/>
                <w:szCs w:val="20"/>
              </w:rPr>
              <w:t>Schlaf mit mir und ich gebe dir eine bessere Note, als du verdienst.”</w:t>
            </w:r>
          </w:p>
          <w:p w14:paraId="5630C846" w14:textId="23F186DD" w:rsidR="008315B6" w:rsidRPr="00BA13F6" w:rsidRDefault="008315B6" w:rsidP="008315B6">
            <w:pPr>
              <w:pStyle w:val="Listenabsatz"/>
              <w:spacing w:line="276" w:lineRule="auto"/>
              <w:ind w:left="308" w:right="-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00F61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3DACFEF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16" w:type="dxa"/>
          </w:tcPr>
          <w:p w14:paraId="0C67D98C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D05E86" w:rsidRPr="00BA13F6" w14:paraId="31977863" w14:textId="77777777" w:rsidTr="61595242">
        <w:tc>
          <w:tcPr>
            <w:tcW w:w="3539" w:type="dxa"/>
          </w:tcPr>
          <w:p w14:paraId="3A32F6FB" w14:textId="4C44BF21" w:rsidR="00D05E86" w:rsidRPr="00BA13F6" w:rsidRDefault="61595242" w:rsidP="004E1621">
            <w:pPr>
              <w:pStyle w:val="Listenabsatz"/>
              <w:numPr>
                <w:ilvl w:val="0"/>
                <w:numId w:val="3"/>
              </w:numPr>
              <w:spacing w:line="276" w:lineRule="auto"/>
              <w:ind w:left="308" w:right="-6" w:hanging="308"/>
              <w:rPr>
                <w:rFonts w:ascii="Cambria" w:hAnsi="Cambria"/>
                <w:sz w:val="20"/>
                <w:szCs w:val="20"/>
              </w:rPr>
            </w:pPr>
            <w:r w:rsidRPr="00BA13F6">
              <w:rPr>
                <w:rFonts w:ascii="Cambria" w:hAnsi="Cambria"/>
                <w:sz w:val="20"/>
                <w:szCs w:val="20"/>
              </w:rPr>
              <w:t xml:space="preserve">Eine Gefängniswärterin sagt: „Schlaf mit mir und ich ermögliche deine Flucht, anderenfalls wissen wir beide, dass du die Todesstrafe bekommen wirst.” </w:t>
            </w:r>
          </w:p>
        </w:tc>
        <w:tc>
          <w:tcPr>
            <w:tcW w:w="851" w:type="dxa"/>
          </w:tcPr>
          <w:p w14:paraId="5039DC4A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4EC4E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16" w:type="dxa"/>
          </w:tcPr>
          <w:p w14:paraId="5BAA5BFA" w14:textId="77777777" w:rsidR="00D05E86" w:rsidRPr="00BA13F6" w:rsidRDefault="00D05E86" w:rsidP="00981BFE">
            <w:pPr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23BFBE89" w14:textId="77777777" w:rsidR="008C6996" w:rsidRPr="00575B30" w:rsidRDefault="008C6996" w:rsidP="008C6996">
      <w:pPr>
        <w:spacing w:line="276" w:lineRule="auto"/>
        <w:jc w:val="both"/>
        <w:rPr>
          <w:rFonts w:ascii="Cambria" w:hAnsi="Cambria"/>
        </w:rPr>
      </w:pPr>
    </w:p>
    <w:p w14:paraId="0DFD618B" w14:textId="3B362DB4" w:rsidR="008B55DE" w:rsidRPr="00403F85" w:rsidRDefault="00C563CE" w:rsidP="00744384">
      <w:pPr>
        <w:spacing w:line="276" w:lineRule="auto"/>
        <w:rPr>
          <w:rFonts w:ascii="Cambria" w:hAnsi="Cambria"/>
          <w:sz w:val="20"/>
          <w:szCs w:val="20"/>
          <w:lang w:val="en-US"/>
        </w:rPr>
      </w:pPr>
      <w:proofErr w:type="spellStart"/>
      <w:r w:rsidRPr="00682B38">
        <w:rPr>
          <w:rFonts w:ascii="Cambria" w:hAnsi="Cambria"/>
          <w:b/>
          <w:sz w:val="20"/>
          <w:szCs w:val="20"/>
          <w:lang w:val="en-US"/>
        </w:rPr>
        <w:t>Angelehnt</w:t>
      </w:r>
      <w:proofErr w:type="spellEnd"/>
      <w:r w:rsidRPr="00682B38">
        <w:rPr>
          <w:rFonts w:ascii="Cambria" w:hAnsi="Cambria"/>
          <w:b/>
          <w:sz w:val="20"/>
          <w:szCs w:val="20"/>
          <w:lang w:val="en-US"/>
        </w:rPr>
        <w:t xml:space="preserve"> an</w:t>
      </w:r>
      <w:r w:rsidR="00403F85" w:rsidRPr="007B7189">
        <w:rPr>
          <w:rFonts w:ascii="Cambria" w:hAnsi="Cambria"/>
          <w:sz w:val="20"/>
          <w:szCs w:val="20"/>
          <w:lang w:val="en-US"/>
        </w:rPr>
        <w:t>: Wertheimer, Alan (1996/2017): Consent and Sexual Relations</w:t>
      </w:r>
      <w:r w:rsidR="00682B38">
        <w:rPr>
          <w:rFonts w:ascii="Cambria" w:hAnsi="Cambria"/>
          <w:sz w:val="20"/>
          <w:szCs w:val="20"/>
          <w:lang w:val="en-US"/>
        </w:rPr>
        <w:t>.</w:t>
      </w:r>
      <w:r w:rsidR="00403F85">
        <w:rPr>
          <w:rFonts w:ascii="Cambria" w:hAnsi="Cambria"/>
          <w:sz w:val="20"/>
          <w:szCs w:val="20"/>
          <w:lang w:val="en-US"/>
        </w:rPr>
        <w:t xml:space="preserve"> In: Halwani, Raja et al. (Hg.): The Philosophy of Sex. Contemporary Readings. 7. </w:t>
      </w:r>
      <w:proofErr w:type="spellStart"/>
      <w:r w:rsidR="00403F85">
        <w:rPr>
          <w:rFonts w:ascii="Cambria" w:hAnsi="Cambria"/>
          <w:sz w:val="20"/>
          <w:szCs w:val="20"/>
          <w:lang w:val="en-US"/>
        </w:rPr>
        <w:t>Aufl</w:t>
      </w:r>
      <w:proofErr w:type="spellEnd"/>
      <w:r w:rsidR="00403F85">
        <w:rPr>
          <w:rFonts w:ascii="Cambria" w:hAnsi="Cambria"/>
          <w:sz w:val="20"/>
          <w:szCs w:val="20"/>
          <w:lang w:val="en-US"/>
        </w:rPr>
        <w:t xml:space="preserve">. Lanham et al.: Rowman &amp; Littlefield, </w:t>
      </w:r>
      <w:r w:rsidR="00682B38">
        <w:rPr>
          <w:rFonts w:ascii="Cambria" w:hAnsi="Cambria"/>
          <w:sz w:val="20"/>
          <w:szCs w:val="20"/>
          <w:lang w:val="en-US"/>
        </w:rPr>
        <w:t xml:space="preserve">S. </w:t>
      </w:r>
      <w:r w:rsidR="00403F85">
        <w:rPr>
          <w:rFonts w:ascii="Cambria" w:hAnsi="Cambria"/>
          <w:sz w:val="20"/>
          <w:szCs w:val="20"/>
          <w:lang w:val="en-US"/>
        </w:rPr>
        <w:t xml:space="preserve">321-347, </w:t>
      </w:r>
      <w:proofErr w:type="spellStart"/>
      <w:r w:rsidR="00403F85">
        <w:rPr>
          <w:rFonts w:ascii="Cambria" w:hAnsi="Cambria"/>
          <w:sz w:val="20"/>
          <w:szCs w:val="20"/>
          <w:lang w:val="en-US"/>
        </w:rPr>
        <w:t>hier</w:t>
      </w:r>
      <w:proofErr w:type="spellEnd"/>
      <w:r w:rsidR="008B55DE" w:rsidRPr="00403F85">
        <w:rPr>
          <w:rFonts w:ascii="Cambria" w:hAnsi="Cambria"/>
          <w:sz w:val="20"/>
          <w:szCs w:val="20"/>
          <w:lang w:val="en-US"/>
        </w:rPr>
        <w:t xml:space="preserve"> S. 334</w:t>
      </w:r>
      <w:r w:rsidR="00806E6D">
        <w:rPr>
          <w:rFonts w:ascii="Cambria" w:hAnsi="Cambria"/>
          <w:sz w:val="20"/>
          <w:szCs w:val="20"/>
          <w:lang w:val="en-US"/>
        </w:rPr>
        <w:t>.</w:t>
      </w:r>
    </w:p>
    <w:p w14:paraId="1FA3CBC3" w14:textId="77777777" w:rsidR="00163E16" w:rsidRPr="0049552D" w:rsidRDefault="00163E16" w:rsidP="008C6996">
      <w:pPr>
        <w:spacing w:line="276" w:lineRule="auto"/>
        <w:jc w:val="both"/>
        <w:rPr>
          <w:rFonts w:ascii="Cambria" w:hAnsi="Cambria"/>
          <w:lang w:val="en-US"/>
        </w:rPr>
      </w:pPr>
    </w:p>
    <w:p w14:paraId="5C659137" w14:textId="323002EE" w:rsidR="00623A87" w:rsidRPr="008B55DE" w:rsidRDefault="00623A87" w:rsidP="00623A87">
      <w:pPr>
        <w:spacing w:line="276" w:lineRule="auto"/>
        <w:jc w:val="both"/>
        <w:rPr>
          <w:rFonts w:ascii="Cambria" w:hAnsi="Cambria"/>
          <w:b/>
        </w:rPr>
      </w:pPr>
      <w:r w:rsidRPr="008B55DE">
        <w:rPr>
          <w:rFonts w:ascii="Cambria" w:hAnsi="Cambria"/>
          <w:b/>
        </w:rPr>
        <w:t>Alan Wertheimer,</w:t>
      </w:r>
      <w:r w:rsidR="00341547">
        <w:rPr>
          <w:rFonts w:ascii="Cambria" w:hAnsi="Cambria"/>
          <w:b/>
        </w:rPr>
        <w:t xml:space="preserve"> </w:t>
      </w:r>
      <w:r w:rsidRPr="008B55DE">
        <w:rPr>
          <w:rFonts w:ascii="Cambria" w:hAnsi="Cambria"/>
          <w:b/>
        </w:rPr>
        <w:t xml:space="preserve">Einwilligung und </w:t>
      </w:r>
      <w:r w:rsidR="00C563CE">
        <w:rPr>
          <w:rFonts w:ascii="Cambria" w:hAnsi="Cambria"/>
          <w:b/>
        </w:rPr>
        <w:t>s</w:t>
      </w:r>
      <w:r w:rsidRPr="008B55DE">
        <w:rPr>
          <w:rFonts w:ascii="Cambria" w:hAnsi="Cambria"/>
          <w:b/>
        </w:rPr>
        <w:t>ex</w:t>
      </w:r>
      <w:r w:rsidR="001B0D43">
        <w:rPr>
          <w:rFonts w:ascii="Cambria" w:hAnsi="Cambria"/>
          <w:b/>
        </w:rPr>
        <w:t>uelle Beziehungen</w:t>
      </w:r>
      <w:r w:rsidRPr="008B55DE">
        <w:rPr>
          <w:rFonts w:ascii="Cambria" w:hAnsi="Cambria"/>
          <w:b/>
        </w:rPr>
        <w:t xml:space="preserve"> (1996)</w:t>
      </w:r>
    </w:p>
    <w:p w14:paraId="7806D748" w14:textId="77777777" w:rsidR="00744384" w:rsidRDefault="00744384" w:rsidP="008C6996">
      <w:pPr>
        <w:spacing w:line="276" w:lineRule="auto"/>
        <w:jc w:val="both"/>
        <w:rPr>
          <w:rFonts w:ascii="Cambria" w:hAnsi="Cambria"/>
        </w:rPr>
      </w:pPr>
    </w:p>
    <w:p w14:paraId="6A360004" w14:textId="7F5842C7" w:rsidR="00744384" w:rsidRDefault="00744384" w:rsidP="008C6996">
      <w:pPr>
        <w:spacing w:line="276" w:lineRule="auto"/>
        <w:jc w:val="both"/>
        <w:rPr>
          <w:rFonts w:ascii="Cambria" w:hAnsi="Cambria"/>
        </w:rPr>
        <w:sectPr w:rsidR="00744384" w:rsidSect="004B4725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453E140" w14:textId="38D6A4E2" w:rsidR="00163E16" w:rsidRPr="00575B30" w:rsidRDefault="00163E16" w:rsidP="00623A87">
      <w:pPr>
        <w:spacing w:line="276" w:lineRule="auto"/>
        <w:jc w:val="both"/>
        <w:rPr>
          <w:rFonts w:ascii="Cambria" w:hAnsi="Cambria"/>
        </w:rPr>
      </w:pPr>
      <w:r w:rsidRPr="00575B30">
        <w:rPr>
          <w:rFonts w:ascii="Cambria" w:hAnsi="Cambria"/>
        </w:rPr>
        <w:t xml:space="preserve">Nehmen wir an, A erzwingt </w:t>
      </w:r>
      <w:proofErr w:type="spellStart"/>
      <w:r w:rsidRPr="00575B30">
        <w:rPr>
          <w:rFonts w:ascii="Cambria" w:hAnsi="Cambria"/>
        </w:rPr>
        <w:t>Bs</w:t>
      </w:r>
      <w:proofErr w:type="spellEnd"/>
      <w:r w:rsidRPr="00575B30">
        <w:rPr>
          <w:rFonts w:ascii="Cambria" w:hAnsi="Cambria"/>
        </w:rPr>
        <w:t xml:space="preserve"> Einwilligung zu Sex dann, wenn (a) A droht, </w:t>
      </w:r>
      <w:proofErr w:type="spellStart"/>
      <w:r w:rsidRPr="00575B30">
        <w:rPr>
          <w:rFonts w:ascii="Cambria" w:hAnsi="Cambria"/>
        </w:rPr>
        <w:t>Bs</w:t>
      </w:r>
      <w:proofErr w:type="spellEnd"/>
      <w:r w:rsidRPr="00575B30">
        <w:rPr>
          <w:rFonts w:ascii="Cambria" w:hAnsi="Cambria"/>
        </w:rPr>
        <w:t xml:space="preserve"> Situation zu verschlechtern, wenn </w:t>
      </w:r>
      <w:r w:rsidR="00C816E2" w:rsidRPr="00575B30">
        <w:rPr>
          <w:rFonts w:ascii="Cambria" w:hAnsi="Cambria"/>
        </w:rPr>
        <w:t>B</w:t>
      </w:r>
      <w:r w:rsidRPr="00575B30">
        <w:rPr>
          <w:rFonts w:ascii="Cambria" w:hAnsi="Cambria"/>
        </w:rPr>
        <w:t xml:space="preserve"> nicht mitmacht und wenn es (b) vernünftig ist anzunehm</w:t>
      </w:r>
      <w:r w:rsidR="00D6053F" w:rsidRPr="00575B30">
        <w:rPr>
          <w:rFonts w:ascii="Cambria" w:hAnsi="Cambria"/>
        </w:rPr>
        <w:t xml:space="preserve">en, dass B sich eher der Drohung beugen wird, als mit den Konsequenzen zu leben. </w:t>
      </w:r>
    </w:p>
    <w:p w14:paraId="4981842B" w14:textId="460513CF" w:rsidR="00623A87" w:rsidRPr="00575B30" w:rsidRDefault="00D6053F" w:rsidP="00575B30">
      <w:pPr>
        <w:spacing w:line="276" w:lineRule="auto"/>
        <w:ind w:firstLine="284"/>
        <w:jc w:val="both"/>
        <w:rPr>
          <w:rFonts w:ascii="Cambria" w:hAnsi="Cambria"/>
        </w:rPr>
      </w:pPr>
      <w:r w:rsidRPr="00575B30">
        <w:rPr>
          <w:rFonts w:ascii="Cambria" w:hAnsi="Cambria"/>
        </w:rPr>
        <w:t>Ob Bedingung (a) erfüllt ist, kann aus zwei Gründen unklar sein. Erstens kann unklar sein, ob A B überhaupt bedroht. Wir würde</w:t>
      </w:r>
      <w:r w:rsidR="00C816E2" w:rsidRPr="00575B30">
        <w:rPr>
          <w:rFonts w:ascii="Cambria" w:hAnsi="Cambria"/>
        </w:rPr>
        <w:t>n</w:t>
      </w:r>
      <w:r w:rsidRPr="00575B30">
        <w:rPr>
          <w:rFonts w:ascii="Cambria" w:hAnsi="Cambria"/>
        </w:rPr>
        <w:t xml:space="preserve"> nicht sagen, dass ein</w:t>
      </w:r>
      <w:r w:rsidR="00673C55">
        <w:rPr>
          <w:rFonts w:ascii="Cambria" w:hAnsi="Cambria"/>
        </w:rPr>
        <w:t xml:space="preserve"> </w:t>
      </w:r>
      <w:r w:rsidRPr="00575B30">
        <w:rPr>
          <w:rFonts w:ascii="Cambria" w:hAnsi="Cambria"/>
        </w:rPr>
        <w:t xml:space="preserve">Bettler B bedroht, wenn </w:t>
      </w:r>
      <w:r w:rsidR="00836316">
        <w:rPr>
          <w:rFonts w:ascii="Cambria" w:hAnsi="Cambria"/>
        </w:rPr>
        <w:t>er</w:t>
      </w:r>
      <w:r w:rsidR="00C563CE" w:rsidRPr="00575B30">
        <w:rPr>
          <w:rFonts w:ascii="Cambria" w:hAnsi="Cambria"/>
        </w:rPr>
        <w:t xml:space="preserve"> B </w:t>
      </w:r>
      <w:r w:rsidRPr="00575B30">
        <w:rPr>
          <w:rFonts w:ascii="Cambria" w:hAnsi="Cambria"/>
        </w:rPr>
        <w:t xml:space="preserve">um Geld bittet. Aber </w:t>
      </w:r>
      <w:r w:rsidR="001B0D43" w:rsidRPr="00575B30">
        <w:rPr>
          <w:rFonts w:ascii="Cambria" w:hAnsi="Cambria"/>
        </w:rPr>
        <w:t>stellt es</w:t>
      </w:r>
      <w:r w:rsidRPr="00575B30">
        <w:rPr>
          <w:rFonts w:ascii="Cambria" w:hAnsi="Cambria"/>
        </w:rPr>
        <w:t xml:space="preserve"> eine Drohung dar, wenn ein große</w:t>
      </w:r>
      <w:r w:rsidR="00673C55">
        <w:rPr>
          <w:rFonts w:ascii="Cambria" w:hAnsi="Cambria"/>
        </w:rPr>
        <w:t>r</w:t>
      </w:r>
      <w:r w:rsidRPr="00575B30">
        <w:rPr>
          <w:rFonts w:ascii="Cambria" w:hAnsi="Cambria"/>
        </w:rPr>
        <w:t xml:space="preserve"> und unheimlich aussehende</w:t>
      </w:r>
      <w:r w:rsidR="00673C55">
        <w:rPr>
          <w:rFonts w:ascii="Cambria" w:hAnsi="Cambria"/>
        </w:rPr>
        <w:t>r</w:t>
      </w:r>
      <w:r w:rsidRPr="00575B30">
        <w:rPr>
          <w:rFonts w:ascii="Cambria" w:hAnsi="Cambria"/>
        </w:rPr>
        <w:t xml:space="preserve"> A zu B sagt: </w:t>
      </w:r>
      <w:r w:rsidR="00575B30">
        <w:rPr>
          <w:rFonts w:ascii="Cambria" w:hAnsi="Cambria"/>
        </w:rPr>
        <w:t>„</w:t>
      </w:r>
      <w:r w:rsidRPr="00575B30">
        <w:rPr>
          <w:rFonts w:ascii="Cambria" w:hAnsi="Cambria"/>
        </w:rPr>
        <w:t xml:space="preserve">Ich </w:t>
      </w:r>
      <w:proofErr w:type="spellStart"/>
      <w:r w:rsidRPr="00575B30">
        <w:rPr>
          <w:rFonts w:ascii="Cambria" w:hAnsi="Cambria"/>
        </w:rPr>
        <w:t>fänd’s</w:t>
      </w:r>
      <w:proofErr w:type="spellEnd"/>
      <w:r w:rsidRPr="00575B30">
        <w:rPr>
          <w:rFonts w:ascii="Cambria" w:hAnsi="Cambria"/>
        </w:rPr>
        <w:t xml:space="preserve"> wirklich klasse, wenn du mir deinen Geldbeutel gäbst”, aber darüber</w:t>
      </w:r>
      <w:r w:rsidR="00E81DCE">
        <w:rPr>
          <w:rFonts w:ascii="Cambria" w:hAnsi="Cambria"/>
        </w:rPr>
        <w:t xml:space="preserve"> </w:t>
      </w:r>
      <w:r w:rsidRPr="00575B30">
        <w:rPr>
          <w:rFonts w:ascii="Cambria" w:hAnsi="Cambria"/>
        </w:rPr>
        <w:t>hinaus keine weitere Drohung ausspricht</w:t>
      </w:r>
      <w:r w:rsidR="001B0D43" w:rsidRPr="00575B30">
        <w:rPr>
          <w:rFonts w:ascii="Cambria" w:hAnsi="Cambria"/>
        </w:rPr>
        <w:t>?</w:t>
      </w:r>
      <w:r w:rsidRPr="00575B30">
        <w:rPr>
          <w:rFonts w:ascii="Cambria" w:hAnsi="Cambria"/>
        </w:rPr>
        <w:t xml:space="preserve"> Es scheint nahezuliegen, dass manche körpersprachlichen Signale als Drohung verstanden werden können, und ebenso liegt es nahe anzunehmen, dass </w:t>
      </w:r>
      <w:r w:rsidR="00C563CE" w:rsidRPr="00575B30">
        <w:rPr>
          <w:rFonts w:ascii="Cambria" w:hAnsi="Cambria"/>
        </w:rPr>
        <w:t>B</w:t>
      </w:r>
      <w:r w:rsidRPr="00575B30">
        <w:rPr>
          <w:rFonts w:ascii="Cambria" w:hAnsi="Cambria"/>
        </w:rPr>
        <w:t xml:space="preserve"> diese Signale so verstehen wird. </w:t>
      </w:r>
    </w:p>
    <w:p w14:paraId="234772A1" w14:textId="1432C60D" w:rsidR="00D6053F" w:rsidRPr="00575B30" w:rsidRDefault="00D6053F" w:rsidP="00575B30">
      <w:pPr>
        <w:spacing w:line="276" w:lineRule="auto"/>
        <w:ind w:firstLine="284"/>
        <w:jc w:val="both"/>
      </w:pPr>
      <w:r w:rsidRPr="00575B30">
        <w:rPr>
          <w:rFonts w:ascii="Cambria" w:hAnsi="Cambria"/>
        </w:rPr>
        <w:t>Nehmen wir an, dass keine Unklarheiten darüber bestehen, was passieren wird, wenn B ablehnt.</w:t>
      </w:r>
      <w:r w:rsidR="000717D4">
        <w:rPr>
          <w:rFonts w:ascii="Cambria" w:hAnsi="Cambria"/>
        </w:rPr>
        <w:t xml:space="preserve"> </w:t>
      </w:r>
      <w:r w:rsidRPr="00575B30">
        <w:rPr>
          <w:rFonts w:ascii="Cambria" w:hAnsi="Cambria"/>
        </w:rPr>
        <w:t xml:space="preserve">Zweitens kann unklar sein, ob Bedingung (a) erfüllt ist, weil die Frage noch offen ist: </w:t>
      </w:r>
      <w:r w:rsidR="00575B30">
        <w:rPr>
          <w:rFonts w:ascii="Cambria" w:hAnsi="Cambria"/>
        </w:rPr>
        <w:t>„</w:t>
      </w:r>
      <w:r w:rsidRPr="00575B30">
        <w:rPr>
          <w:rFonts w:ascii="Cambria" w:hAnsi="Cambria"/>
        </w:rPr>
        <w:t>Verschlechter</w:t>
      </w:r>
      <w:r w:rsidR="001B0D43" w:rsidRPr="00575B30">
        <w:rPr>
          <w:rFonts w:ascii="Cambria" w:hAnsi="Cambria"/>
        </w:rPr>
        <w:t>n</w:t>
      </w:r>
      <w:r w:rsidRPr="00575B30">
        <w:rPr>
          <w:rFonts w:ascii="Cambria" w:hAnsi="Cambria"/>
        </w:rPr>
        <w:t xml:space="preserve"> im Vergleich wozu?” […]</w:t>
      </w:r>
      <w:r w:rsidR="00DC6FF2" w:rsidRPr="00575B30">
        <w:rPr>
          <w:rFonts w:ascii="Cambria" w:hAnsi="Cambria"/>
        </w:rPr>
        <w:t xml:space="preserve"> Das zentrale Element bei Zwang ist, dass A B androht, B schlechter zu stellen, als […] B </w:t>
      </w:r>
      <w:r w:rsidR="000717D4">
        <w:rPr>
          <w:rFonts w:ascii="Cambria" w:hAnsi="Cambria"/>
        </w:rPr>
        <w:t xml:space="preserve">A gegenüber </w:t>
      </w:r>
      <w:r w:rsidR="00DC6FF2" w:rsidRPr="00575B30">
        <w:rPr>
          <w:rFonts w:ascii="Cambria" w:hAnsi="Cambria"/>
        </w:rPr>
        <w:t xml:space="preserve">das Recht </w:t>
      </w:r>
      <w:r w:rsidR="00BF5B41">
        <w:rPr>
          <w:rFonts w:ascii="Cambria" w:hAnsi="Cambria"/>
        </w:rPr>
        <w:t xml:space="preserve">bzw. den Anspruch </w:t>
      </w:r>
      <w:r w:rsidR="00DC6FF2" w:rsidRPr="00575B30">
        <w:rPr>
          <w:rFonts w:ascii="Cambria" w:hAnsi="Cambria"/>
        </w:rPr>
        <w:t xml:space="preserve">hat dazustehen, </w:t>
      </w:r>
      <w:r w:rsidR="000717D4">
        <w:rPr>
          <w:rFonts w:ascii="Cambria" w:hAnsi="Cambria"/>
        </w:rPr>
        <w:t xml:space="preserve">oder dass A androht, </w:t>
      </w:r>
      <w:proofErr w:type="spellStart"/>
      <w:r w:rsidR="000717D4">
        <w:rPr>
          <w:rFonts w:ascii="Cambria" w:hAnsi="Cambria"/>
        </w:rPr>
        <w:t>Bs</w:t>
      </w:r>
      <w:proofErr w:type="spellEnd"/>
      <w:r w:rsidR="000717D4">
        <w:rPr>
          <w:rFonts w:ascii="Cambria" w:hAnsi="Cambria"/>
        </w:rPr>
        <w:t xml:space="preserve"> Recht zu verletzten </w:t>
      </w:r>
      <w:r w:rsidR="00DC6FF2" w:rsidRPr="00575B30">
        <w:rPr>
          <w:rFonts w:ascii="Cambria" w:hAnsi="Cambria"/>
        </w:rPr>
        <w:t>und nicht (wie es scheinen könnte), dass A androht, B schlechter zu stellen</w:t>
      </w:r>
      <w:r w:rsidR="0077673F" w:rsidRPr="00575B30">
        <w:rPr>
          <w:rFonts w:ascii="Cambria" w:hAnsi="Cambria"/>
        </w:rPr>
        <w:t>,</w:t>
      </w:r>
      <w:r w:rsidR="00DC6FF2" w:rsidRPr="00575B30">
        <w:rPr>
          <w:rFonts w:ascii="Cambria" w:hAnsi="Cambria"/>
        </w:rPr>
        <w:t xml:space="preserve"> als B gegenwärtig </w:t>
      </w:r>
      <w:r w:rsidR="000717D4">
        <w:rPr>
          <w:rFonts w:ascii="Cambria" w:hAnsi="Cambria"/>
        </w:rPr>
        <w:t>da</w:t>
      </w:r>
      <w:r w:rsidR="00DC6FF2" w:rsidRPr="00575B30">
        <w:rPr>
          <w:rFonts w:ascii="Cambria" w:hAnsi="Cambria"/>
        </w:rPr>
        <w:t xml:space="preserve">steht. </w:t>
      </w:r>
    </w:p>
    <w:p w14:paraId="35387EF5" w14:textId="6B23C67C" w:rsidR="000717D4" w:rsidRPr="00BF5B41" w:rsidRDefault="000717D4" w:rsidP="000717D4">
      <w:pPr>
        <w:spacing w:line="276" w:lineRule="auto"/>
        <w:jc w:val="both"/>
        <w:rPr>
          <w:rFonts w:ascii="Cambria" w:hAnsi="Cambria"/>
        </w:rPr>
        <w:sectPr w:rsidR="000717D4" w:rsidRPr="00BF5B41" w:rsidSect="00744384">
          <w:type w:val="continuous"/>
          <w:pgSz w:w="11900" w:h="16840"/>
          <w:pgMar w:top="1418" w:right="1418" w:bottom="1134" w:left="1418" w:header="709" w:footer="709" w:gutter="0"/>
          <w:lnNumType w:countBy="3" w:restart="newSection"/>
          <w:cols w:space="708"/>
          <w:docGrid w:linePitch="360"/>
        </w:sectPr>
      </w:pPr>
    </w:p>
    <w:p w14:paraId="3CBD1A6F" w14:textId="34AB9323" w:rsidR="00623A87" w:rsidRPr="00BF5B41" w:rsidRDefault="00623A87" w:rsidP="00623A87">
      <w:pPr>
        <w:spacing w:line="276" w:lineRule="auto"/>
        <w:jc w:val="both"/>
        <w:rPr>
          <w:rFonts w:ascii="Cambria" w:hAnsi="Cambria"/>
        </w:rPr>
      </w:pPr>
    </w:p>
    <w:p w14:paraId="02213055" w14:textId="38DF5159" w:rsidR="00A6455E" w:rsidRPr="00682B38" w:rsidRDefault="00595106" w:rsidP="00744384">
      <w:pPr>
        <w:spacing w:line="276" w:lineRule="auto"/>
        <w:rPr>
          <w:rFonts w:ascii="Cambria" w:hAnsi="Cambria"/>
        </w:rPr>
      </w:pPr>
      <w:r w:rsidRPr="00682B38">
        <w:rPr>
          <w:rFonts w:ascii="Cambria" w:hAnsi="Cambria"/>
          <w:b/>
          <w:sz w:val="20"/>
          <w:szCs w:val="20"/>
          <w:lang w:val="en-US"/>
        </w:rPr>
        <w:t>Quelle</w:t>
      </w:r>
      <w:r w:rsidRPr="007B7189">
        <w:rPr>
          <w:rFonts w:ascii="Cambria" w:hAnsi="Cambria"/>
          <w:sz w:val="20"/>
          <w:szCs w:val="20"/>
          <w:lang w:val="en-US"/>
        </w:rPr>
        <w:t>: Wertheimer</w:t>
      </w:r>
      <w:r w:rsidR="007B7189" w:rsidRPr="007B7189">
        <w:rPr>
          <w:rFonts w:ascii="Cambria" w:hAnsi="Cambria"/>
          <w:sz w:val="20"/>
          <w:szCs w:val="20"/>
          <w:lang w:val="en-US"/>
        </w:rPr>
        <w:t>, Alan (</w:t>
      </w:r>
      <w:r w:rsidRPr="007B7189">
        <w:rPr>
          <w:rFonts w:ascii="Cambria" w:hAnsi="Cambria"/>
          <w:sz w:val="20"/>
          <w:szCs w:val="20"/>
          <w:lang w:val="en-US"/>
        </w:rPr>
        <w:t>1996/2017</w:t>
      </w:r>
      <w:r w:rsidR="007B7189" w:rsidRPr="007B7189">
        <w:rPr>
          <w:rFonts w:ascii="Cambria" w:hAnsi="Cambria"/>
          <w:sz w:val="20"/>
          <w:szCs w:val="20"/>
          <w:lang w:val="en-US"/>
        </w:rPr>
        <w:t>): Consent and Sexual Relations</w:t>
      </w:r>
      <w:r w:rsidR="007B7189">
        <w:rPr>
          <w:rFonts w:ascii="Cambria" w:hAnsi="Cambria"/>
          <w:sz w:val="20"/>
          <w:szCs w:val="20"/>
          <w:lang w:val="en-US"/>
        </w:rPr>
        <w:t xml:space="preserve">, In: Halwani, Raja et al. (Hg.): The Philosophy of Sex. Contemporary Readings. 7. </w:t>
      </w:r>
      <w:proofErr w:type="spellStart"/>
      <w:r w:rsidR="007B7189">
        <w:rPr>
          <w:rFonts w:ascii="Cambria" w:hAnsi="Cambria"/>
          <w:sz w:val="20"/>
          <w:szCs w:val="20"/>
          <w:lang w:val="en-US"/>
        </w:rPr>
        <w:t>Aufl</w:t>
      </w:r>
      <w:proofErr w:type="spellEnd"/>
      <w:r w:rsidR="007B7189">
        <w:rPr>
          <w:rFonts w:ascii="Cambria" w:hAnsi="Cambria"/>
          <w:sz w:val="20"/>
          <w:szCs w:val="20"/>
          <w:lang w:val="en-US"/>
        </w:rPr>
        <w:t xml:space="preserve">. </w:t>
      </w:r>
      <w:r w:rsidR="007B7189" w:rsidRPr="0049552D">
        <w:rPr>
          <w:rFonts w:ascii="Cambria" w:hAnsi="Cambria"/>
          <w:sz w:val="20"/>
          <w:szCs w:val="20"/>
          <w:lang w:val="en-US"/>
        </w:rPr>
        <w:t xml:space="preserve">Lanham et al.: Rowman &amp; Littlefield, </w:t>
      </w:r>
      <w:r w:rsidR="00682B38" w:rsidRPr="0049552D">
        <w:rPr>
          <w:rFonts w:ascii="Cambria" w:hAnsi="Cambria"/>
          <w:sz w:val="20"/>
          <w:szCs w:val="20"/>
          <w:lang w:val="en-US"/>
        </w:rPr>
        <w:t xml:space="preserve">S. </w:t>
      </w:r>
      <w:r w:rsidR="007B7189" w:rsidRPr="0049552D">
        <w:rPr>
          <w:rFonts w:ascii="Cambria" w:hAnsi="Cambria"/>
          <w:sz w:val="20"/>
          <w:szCs w:val="20"/>
          <w:lang w:val="en-US"/>
        </w:rPr>
        <w:t xml:space="preserve">321-347, </w:t>
      </w:r>
      <w:proofErr w:type="spellStart"/>
      <w:r w:rsidR="007B7189" w:rsidRPr="0049552D">
        <w:rPr>
          <w:rFonts w:ascii="Cambria" w:hAnsi="Cambria"/>
          <w:sz w:val="20"/>
          <w:szCs w:val="20"/>
          <w:lang w:val="en-US"/>
        </w:rPr>
        <w:t>hier</w:t>
      </w:r>
      <w:proofErr w:type="spellEnd"/>
      <w:r w:rsidRPr="0049552D">
        <w:rPr>
          <w:rFonts w:ascii="Cambria" w:hAnsi="Cambria"/>
          <w:sz w:val="20"/>
          <w:szCs w:val="20"/>
          <w:lang w:val="en-US"/>
        </w:rPr>
        <w:t xml:space="preserve"> S. 333f.</w:t>
      </w:r>
      <w:r w:rsidR="00682B38" w:rsidRPr="0049552D">
        <w:rPr>
          <w:rFonts w:ascii="Cambria" w:hAnsi="Cambria"/>
          <w:sz w:val="20"/>
          <w:szCs w:val="20"/>
          <w:lang w:val="en-US"/>
        </w:rPr>
        <w:t xml:space="preserve"> </w:t>
      </w:r>
      <w:r w:rsidR="00341547" w:rsidRPr="00682B38">
        <w:rPr>
          <w:rFonts w:ascii="Cambria" w:hAnsi="Cambria"/>
          <w:sz w:val="20"/>
          <w:szCs w:val="20"/>
        </w:rPr>
        <w:t>Übersetzung</w:t>
      </w:r>
      <w:r w:rsidR="000717D4">
        <w:rPr>
          <w:rFonts w:ascii="Cambria" w:hAnsi="Cambria"/>
          <w:sz w:val="20"/>
          <w:szCs w:val="20"/>
        </w:rPr>
        <w:t>:</w:t>
      </w:r>
      <w:r w:rsidR="00341547" w:rsidRPr="00682B38">
        <w:rPr>
          <w:rFonts w:ascii="Cambria" w:hAnsi="Cambria"/>
          <w:sz w:val="20"/>
          <w:szCs w:val="20"/>
        </w:rPr>
        <w:t xml:space="preserve"> Christine </w:t>
      </w:r>
      <w:proofErr w:type="spellStart"/>
      <w:r w:rsidR="00341547" w:rsidRPr="00682B38">
        <w:rPr>
          <w:rFonts w:ascii="Cambria" w:hAnsi="Cambria"/>
          <w:sz w:val="20"/>
          <w:szCs w:val="20"/>
        </w:rPr>
        <w:t>Bratu</w:t>
      </w:r>
      <w:proofErr w:type="spellEnd"/>
      <w:r w:rsidR="00341547" w:rsidRPr="00682B38">
        <w:rPr>
          <w:rFonts w:ascii="Cambria" w:hAnsi="Cambria"/>
          <w:sz w:val="20"/>
          <w:szCs w:val="20"/>
        </w:rPr>
        <w:t xml:space="preserve"> und Friederike Wenzel</w:t>
      </w:r>
      <w:r w:rsidR="00682B38" w:rsidRPr="00682B38">
        <w:rPr>
          <w:rFonts w:ascii="Cambria" w:hAnsi="Cambria"/>
          <w:sz w:val="20"/>
          <w:szCs w:val="20"/>
        </w:rPr>
        <w:t>.</w:t>
      </w:r>
    </w:p>
    <w:sectPr w:rsidR="00A6455E" w:rsidRPr="00682B38" w:rsidSect="00744384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A6FD" w14:textId="77777777" w:rsidR="00EF5DAD" w:rsidRDefault="00EF5DAD">
      <w:r>
        <w:separator/>
      </w:r>
    </w:p>
  </w:endnote>
  <w:endnote w:type="continuationSeparator" w:id="0">
    <w:p w14:paraId="55948218" w14:textId="77777777" w:rsidR="00EF5DAD" w:rsidRDefault="00EF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33433520"/>
      <w:docPartObj>
        <w:docPartGallery w:val="Page Numbers (Bottom of Page)"/>
        <w:docPartUnique/>
      </w:docPartObj>
    </w:sdtPr>
    <w:sdtContent>
      <w:p w14:paraId="4CB79FC9" w14:textId="4B1F9674" w:rsidR="00527E46" w:rsidRDefault="00527E46" w:rsidP="00FA056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F575DD" w14:textId="77777777" w:rsidR="00527E46" w:rsidRDefault="00527E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96634387"/>
      <w:docPartObj>
        <w:docPartGallery w:val="Page Numbers (Bottom of Page)"/>
        <w:docPartUnique/>
      </w:docPartObj>
    </w:sdtPr>
    <w:sdtEndPr>
      <w:rPr>
        <w:rStyle w:val="Seitenzahl"/>
        <w:rFonts w:ascii="Cambria" w:hAnsi="Cambria"/>
      </w:rPr>
    </w:sdtEndPr>
    <w:sdtContent>
      <w:p w14:paraId="3A0B4982" w14:textId="273AA47E" w:rsidR="00527E46" w:rsidRPr="00527E46" w:rsidRDefault="00527E46" w:rsidP="00FA0566">
        <w:pPr>
          <w:pStyle w:val="Fuzeile"/>
          <w:framePr w:wrap="none" w:vAnchor="text" w:hAnchor="margin" w:xAlign="center" w:y="1"/>
          <w:rPr>
            <w:rStyle w:val="Seitenzahl"/>
            <w:rFonts w:ascii="Cambria" w:hAnsi="Cambria"/>
          </w:rPr>
        </w:pPr>
        <w:r w:rsidRPr="00527E46">
          <w:rPr>
            <w:rStyle w:val="Seitenzahl"/>
            <w:rFonts w:ascii="Cambria" w:hAnsi="Cambria"/>
          </w:rPr>
          <w:fldChar w:fldCharType="begin"/>
        </w:r>
        <w:r w:rsidRPr="00527E46">
          <w:rPr>
            <w:rStyle w:val="Seitenzahl"/>
            <w:rFonts w:ascii="Cambria" w:hAnsi="Cambria"/>
          </w:rPr>
          <w:instrText xml:space="preserve"> PAGE </w:instrText>
        </w:r>
        <w:r w:rsidRPr="00527E46">
          <w:rPr>
            <w:rStyle w:val="Seitenzahl"/>
            <w:rFonts w:ascii="Cambria" w:hAnsi="Cambria"/>
          </w:rPr>
          <w:fldChar w:fldCharType="separate"/>
        </w:r>
        <w:r w:rsidRPr="00527E46">
          <w:rPr>
            <w:rStyle w:val="Seitenzahl"/>
            <w:rFonts w:ascii="Cambria" w:hAnsi="Cambria"/>
            <w:noProof/>
          </w:rPr>
          <w:t>1</w:t>
        </w:r>
        <w:r w:rsidRPr="00527E46">
          <w:rPr>
            <w:rStyle w:val="Seitenzahl"/>
            <w:rFonts w:ascii="Cambria" w:hAnsi="Cambria"/>
          </w:rPr>
          <w:fldChar w:fldCharType="end"/>
        </w:r>
      </w:p>
    </w:sdtContent>
  </w:sdt>
  <w:p w14:paraId="08016EFB" w14:textId="77777777" w:rsidR="00527E46" w:rsidRDefault="00527E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20DC" w14:textId="77777777" w:rsidR="00EF5DAD" w:rsidRDefault="00EF5DAD">
      <w:r>
        <w:separator/>
      </w:r>
    </w:p>
  </w:footnote>
  <w:footnote w:type="continuationSeparator" w:id="0">
    <w:p w14:paraId="47A7AC9C" w14:textId="77777777" w:rsidR="00EF5DAD" w:rsidRDefault="00EF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C4D4" w14:textId="77777777" w:rsidR="0054140F" w:rsidRPr="00241E49" w:rsidRDefault="00B43AFD" w:rsidP="00603265">
    <w:pPr>
      <w:pStyle w:val="Kopfzeile"/>
      <w:jc w:val="right"/>
      <w:rPr>
        <w:rFonts w:ascii="Cambria" w:hAnsi="Cambria" w:cs="Times New Roman"/>
        <w:i/>
        <w:sz w:val="22"/>
        <w:szCs w:val="22"/>
      </w:rPr>
    </w:pPr>
    <w:r>
      <w:rPr>
        <w:rFonts w:ascii="Cambria" w:hAnsi="Cambria" w:cs="Times New Roman"/>
        <w:i/>
        <w:sz w:val="22"/>
        <w:szCs w:val="22"/>
      </w:rPr>
      <w:t xml:space="preserve">philovernetzt.de </w:t>
    </w:r>
  </w:p>
  <w:p w14:paraId="0289B783" w14:textId="77777777" w:rsidR="0054140F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4DA"/>
    <w:multiLevelType w:val="hybridMultilevel"/>
    <w:tmpl w:val="5CBC2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47DE"/>
    <w:multiLevelType w:val="hybridMultilevel"/>
    <w:tmpl w:val="6EF8B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BA9"/>
    <w:multiLevelType w:val="hybridMultilevel"/>
    <w:tmpl w:val="77C8C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70B"/>
    <w:multiLevelType w:val="hybridMultilevel"/>
    <w:tmpl w:val="0C42B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737C"/>
    <w:multiLevelType w:val="hybridMultilevel"/>
    <w:tmpl w:val="57ACBEA8"/>
    <w:lvl w:ilvl="0" w:tplc="660063A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7A07"/>
    <w:multiLevelType w:val="hybridMultilevel"/>
    <w:tmpl w:val="77C8C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7BAD"/>
    <w:multiLevelType w:val="hybridMultilevel"/>
    <w:tmpl w:val="FB1E3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B4A"/>
    <w:multiLevelType w:val="hybridMultilevel"/>
    <w:tmpl w:val="DF2AE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6514"/>
    <w:multiLevelType w:val="hybridMultilevel"/>
    <w:tmpl w:val="1B04B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1754">
    <w:abstractNumId w:val="4"/>
  </w:num>
  <w:num w:numId="2" w16cid:durableId="1554392238">
    <w:abstractNumId w:val="5"/>
  </w:num>
  <w:num w:numId="3" w16cid:durableId="1370448658">
    <w:abstractNumId w:val="0"/>
  </w:num>
  <w:num w:numId="4" w16cid:durableId="1597902817">
    <w:abstractNumId w:val="7"/>
  </w:num>
  <w:num w:numId="5" w16cid:durableId="30882398">
    <w:abstractNumId w:val="2"/>
  </w:num>
  <w:num w:numId="6" w16cid:durableId="376273571">
    <w:abstractNumId w:val="3"/>
  </w:num>
  <w:num w:numId="7" w16cid:durableId="573661204">
    <w:abstractNumId w:val="8"/>
  </w:num>
  <w:num w:numId="8" w16cid:durableId="605843380">
    <w:abstractNumId w:val="1"/>
  </w:num>
  <w:num w:numId="9" w16cid:durableId="970983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consecutiveHyphenLimit w:val="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B"/>
    <w:rsid w:val="00026CFD"/>
    <w:rsid w:val="00030E74"/>
    <w:rsid w:val="000412FF"/>
    <w:rsid w:val="000717D4"/>
    <w:rsid w:val="000B21FA"/>
    <w:rsid w:val="000C703A"/>
    <w:rsid w:val="000E2785"/>
    <w:rsid w:val="0013225C"/>
    <w:rsid w:val="00163E16"/>
    <w:rsid w:val="00173E32"/>
    <w:rsid w:val="001B0D43"/>
    <w:rsid w:val="001B2D0F"/>
    <w:rsid w:val="001B4189"/>
    <w:rsid w:val="00252291"/>
    <w:rsid w:val="0027773C"/>
    <w:rsid w:val="002B2248"/>
    <w:rsid w:val="002D1161"/>
    <w:rsid w:val="002E20DF"/>
    <w:rsid w:val="003022D5"/>
    <w:rsid w:val="00321EBE"/>
    <w:rsid w:val="00341547"/>
    <w:rsid w:val="0034266E"/>
    <w:rsid w:val="00363F85"/>
    <w:rsid w:val="0039017D"/>
    <w:rsid w:val="003A6720"/>
    <w:rsid w:val="00403F85"/>
    <w:rsid w:val="00406610"/>
    <w:rsid w:val="004433E2"/>
    <w:rsid w:val="00476474"/>
    <w:rsid w:val="00493A06"/>
    <w:rsid w:val="0049552D"/>
    <w:rsid w:val="004960EB"/>
    <w:rsid w:val="004A168F"/>
    <w:rsid w:val="004B4725"/>
    <w:rsid w:val="004E1621"/>
    <w:rsid w:val="00505B60"/>
    <w:rsid w:val="0052282C"/>
    <w:rsid w:val="00527E46"/>
    <w:rsid w:val="00575B30"/>
    <w:rsid w:val="00595106"/>
    <w:rsid w:val="005A0C37"/>
    <w:rsid w:val="005C05AB"/>
    <w:rsid w:val="005C1402"/>
    <w:rsid w:val="005F28E6"/>
    <w:rsid w:val="005F296F"/>
    <w:rsid w:val="00623A87"/>
    <w:rsid w:val="00643E1C"/>
    <w:rsid w:val="00673C55"/>
    <w:rsid w:val="00682B38"/>
    <w:rsid w:val="006D73B3"/>
    <w:rsid w:val="006E2ACE"/>
    <w:rsid w:val="0072154D"/>
    <w:rsid w:val="007261F7"/>
    <w:rsid w:val="00744384"/>
    <w:rsid w:val="0077673F"/>
    <w:rsid w:val="007A100E"/>
    <w:rsid w:val="007B7189"/>
    <w:rsid w:val="007B735E"/>
    <w:rsid w:val="00806E6D"/>
    <w:rsid w:val="0081402F"/>
    <w:rsid w:val="00821EBE"/>
    <w:rsid w:val="0083154F"/>
    <w:rsid w:val="008315B6"/>
    <w:rsid w:val="00836316"/>
    <w:rsid w:val="008367A3"/>
    <w:rsid w:val="00853C45"/>
    <w:rsid w:val="00866782"/>
    <w:rsid w:val="008B55DE"/>
    <w:rsid w:val="008C6996"/>
    <w:rsid w:val="009366CE"/>
    <w:rsid w:val="009405AC"/>
    <w:rsid w:val="00981BFE"/>
    <w:rsid w:val="00986288"/>
    <w:rsid w:val="009A1015"/>
    <w:rsid w:val="009A5ECB"/>
    <w:rsid w:val="009B5287"/>
    <w:rsid w:val="009B7E5C"/>
    <w:rsid w:val="009D63B5"/>
    <w:rsid w:val="009E0013"/>
    <w:rsid w:val="00A60C48"/>
    <w:rsid w:val="00A61CE6"/>
    <w:rsid w:val="00A6455E"/>
    <w:rsid w:val="00A81BA1"/>
    <w:rsid w:val="00B43AFD"/>
    <w:rsid w:val="00B56B1B"/>
    <w:rsid w:val="00B64BFE"/>
    <w:rsid w:val="00B721D8"/>
    <w:rsid w:val="00BA13F6"/>
    <w:rsid w:val="00BF028F"/>
    <w:rsid w:val="00BF5B41"/>
    <w:rsid w:val="00C24A1D"/>
    <w:rsid w:val="00C4465C"/>
    <w:rsid w:val="00C56115"/>
    <w:rsid w:val="00C563CE"/>
    <w:rsid w:val="00C567CF"/>
    <w:rsid w:val="00C816E2"/>
    <w:rsid w:val="00CF7F86"/>
    <w:rsid w:val="00D05E86"/>
    <w:rsid w:val="00D12C56"/>
    <w:rsid w:val="00D6053F"/>
    <w:rsid w:val="00D6124B"/>
    <w:rsid w:val="00D8695A"/>
    <w:rsid w:val="00DC6FF2"/>
    <w:rsid w:val="00E1036D"/>
    <w:rsid w:val="00E37F21"/>
    <w:rsid w:val="00E81DCE"/>
    <w:rsid w:val="00E843C1"/>
    <w:rsid w:val="00EB246D"/>
    <w:rsid w:val="00EE1E41"/>
    <w:rsid w:val="00EE74F5"/>
    <w:rsid w:val="00EF5DAD"/>
    <w:rsid w:val="00F66C6C"/>
    <w:rsid w:val="00F73962"/>
    <w:rsid w:val="00F75CE7"/>
    <w:rsid w:val="00FE261E"/>
    <w:rsid w:val="00FF6D39"/>
    <w:rsid w:val="615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D70E"/>
  <w14:defaultImageDpi w14:val="32767"/>
  <w15:chartTrackingRefBased/>
  <w15:docId w15:val="{96FEE56B-80E0-3946-94F8-4680E9D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960EB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6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0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960EB"/>
    <w:rPr>
      <w:rFonts w:eastAsiaTheme="minorEastAsia"/>
      <w:lang w:eastAsia="ja-JP"/>
    </w:rPr>
  </w:style>
  <w:style w:type="character" w:styleId="Hyperlink">
    <w:name w:val="Hyperlink"/>
    <w:basedOn w:val="Absatz-Standardschriftart"/>
    <w:uiPriority w:val="99"/>
    <w:unhideWhenUsed/>
    <w:rsid w:val="009862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8628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77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7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73C"/>
    <w:rPr>
      <w:rFonts w:eastAsiaTheme="minorEastAsia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7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73C"/>
    <w:rPr>
      <w:rFonts w:eastAsiaTheme="minorEastAsia"/>
      <w:b/>
      <w:bCs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73C"/>
    <w:rPr>
      <w:rFonts w:ascii="Segoe UI" w:eastAsiaTheme="minorEastAsia" w:hAnsi="Segoe UI" w:cs="Segoe UI"/>
      <w:sz w:val="18"/>
      <w:szCs w:val="18"/>
      <w:lang w:eastAsia="ja-JP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01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017D"/>
    <w:rPr>
      <w:rFonts w:eastAsiaTheme="minorEastAsia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39017D"/>
    <w:rPr>
      <w:vertAlign w:val="superscript"/>
    </w:rPr>
  </w:style>
  <w:style w:type="table" w:styleId="Tabellenraster">
    <w:name w:val="Table Grid"/>
    <w:basedOn w:val="NormaleTabelle"/>
    <w:uiPriority w:val="39"/>
    <w:rsid w:val="00D0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744384"/>
  </w:style>
  <w:style w:type="paragraph" w:styleId="Fuzeile">
    <w:name w:val="footer"/>
    <w:basedOn w:val="Standard"/>
    <w:link w:val="FuzeileZchn"/>
    <w:uiPriority w:val="99"/>
    <w:unhideWhenUsed/>
    <w:rsid w:val="00527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7E46"/>
    <w:rPr>
      <w:rFonts w:eastAsiaTheme="minorEastAsia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52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FC2-90AB-1D40-BCDB-C27CFF1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Burkard</dc:creator>
  <cp:keywords/>
  <dc:description/>
  <cp:lastModifiedBy>Autor:in</cp:lastModifiedBy>
  <cp:revision>25</cp:revision>
  <cp:lastPrinted>2020-10-10T06:15:00Z</cp:lastPrinted>
  <dcterms:created xsi:type="dcterms:W3CDTF">2020-10-10T15:35:00Z</dcterms:created>
  <dcterms:modified xsi:type="dcterms:W3CDTF">2023-01-11T13:54:00Z</dcterms:modified>
</cp:coreProperties>
</file>